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E9" w:rsidRPr="00E230AD" w:rsidRDefault="000D29E9" w:rsidP="00B945AE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bookmarkStart w:id="0" w:name="_GoBack"/>
      <w:bookmarkEnd w:id="0"/>
    </w:p>
    <w:p w:rsidR="00C32E6E" w:rsidRPr="00E230AD" w:rsidRDefault="00C32E6E" w:rsidP="00B945AE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NOTAS DE DESGLOCE</w:t>
      </w:r>
    </w:p>
    <w:p w:rsidR="00C32E6E" w:rsidRPr="00E230AD" w:rsidRDefault="00C32E6E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C32E6E" w:rsidRDefault="00C32E6E" w:rsidP="000C5782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NOTAS AL ESTADO DE SITUACION FINANCIERA</w:t>
      </w:r>
      <w:r w:rsidR="00BA1E58" w:rsidRPr="00E230AD">
        <w:rPr>
          <w:rFonts w:ascii="Consolas" w:hAnsi="Consolas"/>
          <w:b/>
          <w:sz w:val="22"/>
          <w:szCs w:val="22"/>
        </w:rPr>
        <w:t xml:space="preserve"> I</w:t>
      </w:r>
      <w:r w:rsidR="002F6F59">
        <w:rPr>
          <w:rFonts w:ascii="Consolas" w:hAnsi="Consolas"/>
          <w:b/>
          <w:sz w:val="22"/>
          <w:szCs w:val="22"/>
        </w:rPr>
        <w:t>V</w:t>
      </w:r>
      <w:r w:rsidR="00BA1E58" w:rsidRPr="00E230AD">
        <w:rPr>
          <w:rFonts w:ascii="Consolas" w:hAnsi="Consolas"/>
          <w:b/>
          <w:sz w:val="22"/>
          <w:szCs w:val="22"/>
        </w:rPr>
        <w:t xml:space="preserve"> TRIMESTRE 20</w:t>
      </w:r>
      <w:r w:rsidR="00BC17DC">
        <w:rPr>
          <w:rFonts w:ascii="Consolas" w:hAnsi="Consolas"/>
          <w:b/>
          <w:sz w:val="22"/>
          <w:szCs w:val="22"/>
        </w:rPr>
        <w:t>20</w:t>
      </w:r>
    </w:p>
    <w:p w:rsidR="00C32E6E" w:rsidRPr="00E230AD" w:rsidRDefault="00C32E6E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C32E6E" w:rsidRPr="00E230AD" w:rsidRDefault="00C32E6E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 xml:space="preserve">NOTA 1.- </w:t>
      </w:r>
      <w:r w:rsidR="00CD4B73" w:rsidRPr="00E230AD">
        <w:rPr>
          <w:rFonts w:ascii="Consolas" w:hAnsi="Consolas"/>
          <w:b/>
          <w:sz w:val="22"/>
          <w:szCs w:val="22"/>
        </w:rPr>
        <w:t>EFECTIVO/</w:t>
      </w:r>
      <w:r w:rsidRPr="00E230AD">
        <w:rPr>
          <w:rFonts w:ascii="Consolas" w:hAnsi="Consolas"/>
          <w:b/>
          <w:sz w:val="22"/>
          <w:szCs w:val="22"/>
        </w:rPr>
        <w:t>BANCOS/TESORERIA E INVERSIONES TEMPORALES</w:t>
      </w:r>
    </w:p>
    <w:p w:rsidR="008226FF" w:rsidRPr="00E230AD" w:rsidRDefault="008226FF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BA1E58" w:rsidRPr="00E230AD" w:rsidRDefault="00BD15FD" w:rsidP="000C5782">
      <w:pPr>
        <w:pStyle w:val="Textopredeterminado"/>
        <w:jc w:val="both"/>
        <w:rPr>
          <w:rFonts w:ascii="Consolas" w:hAnsi="Consolas"/>
          <w:sz w:val="20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Al </w:t>
      </w:r>
      <w:r w:rsidR="005B139A" w:rsidRPr="00E230AD">
        <w:rPr>
          <w:rFonts w:ascii="Consolas" w:hAnsi="Consolas"/>
          <w:sz w:val="22"/>
          <w:szCs w:val="22"/>
        </w:rPr>
        <w:t>3</w:t>
      </w:r>
      <w:r w:rsidR="002F6F59">
        <w:rPr>
          <w:rFonts w:ascii="Consolas" w:hAnsi="Consolas"/>
          <w:sz w:val="22"/>
          <w:szCs w:val="22"/>
        </w:rPr>
        <w:t>1</w:t>
      </w:r>
      <w:r w:rsidR="005B139A" w:rsidRPr="00E230AD">
        <w:rPr>
          <w:rFonts w:ascii="Consolas" w:hAnsi="Consolas"/>
          <w:sz w:val="22"/>
          <w:szCs w:val="22"/>
        </w:rPr>
        <w:t xml:space="preserve"> de </w:t>
      </w:r>
      <w:r w:rsidR="002F6F59">
        <w:rPr>
          <w:rFonts w:ascii="Consolas" w:hAnsi="Consolas"/>
          <w:sz w:val="22"/>
          <w:szCs w:val="22"/>
        </w:rPr>
        <w:t>diciembre</w:t>
      </w:r>
      <w:r w:rsidR="00BC17DC">
        <w:rPr>
          <w:rFonts w:ascii="Consolas" w:hAnsi="Consolas"/>
          <w:sz w:val="22"/>
          <w:szCs w:val="22"/>
        </w:rPr>
        <w:t xml:space="preserve"> de 2020</w:t>
      </w:r>
      <w:r w:rsidR="00C32E6E" w:rsidRPr="00E230AD">
        <w:rPr>
          <w:rFonts w:ascii="Consolas" w:hAnsi="Consolas"/>
          <w:sz w:val="22"/>
          <w:szCs w:val="22"/>
        </w:rPr>
        <w:t xml:space="preserve"> </w:t>
      </w:r>
      <w:r w:rsidR="00FC16A8" w:rsidRPr="00E230AD">
        <w:rPr>
          <w:rFonts w:ascii="Consolas" w:hAnsi="Consolas"/>
          <w:sz w:val="22"/>
          <w:szCs w:val="22"/>
        </w:rPr>
        <w:t>est</w:t>
      </w:r>
      <w:r w:rsidR="00D32306" w:rsidRPr="00E230AD">
        <w:rPr>
          <w:rFonts w:ascii="Consolas" w:hAnsi="Consolas"/>
          <w:sz w:val="22"/>
          <w:szCs w:val="22"/>
        </w:rPr>
        <w:t>e rubro de cuentas lo integran</w:t>
      </w:r>
      <w:r w:rsidR="00FC16A8" w:rsidRPr="00E230AD">
        <w:rPr>
          <w:rFonts w:ascii="Consolas" w:hAnsi="Consolas"/>
          <w:sz w:val="22"/>
          <w:szCs w:val="22"/>
        </w:rPr>
        <w:t xml:space="preserve"> los saldos de diversas</w:t>
      </w:r>
      <w:r w:rsidR="00D32306" w:rsidRPr="00E230AD">
        <w:rPr>
          <w:rFonts w:ascii="Consolas" w:hAnsi="Consolas"/>
          <w:sz w:val="22"/>
          <w:szCs w:val="22"/>
        </w:rPr>
        <w:t xml:space="preserve"> cuentas de cheques de las siguientes</w:t>
      </w:r>
      <w:r w:rsidR="00FE695D" w:rsidRPr="00E230AD">
        <w:rPr>
          <w:rFonts w:ascii="Consolas" w:hAnsi="Consolas"/>
          <w:sz w:val="22"/>
          <w:szCs w:val="22"/>
        </w:rPr>
        <w:t xml:space="preserve"> Instituciones B</w:t>
      </w:r>
      <w:r w:rsidR="00FC16A8" w:rsidRPr="00E230AD">
        <w:rPr>
          <w:rFonts w:ascii="Consolas" w:hAnsi="Consolas"/>
          <w:sz w:val="22"/>
          <w:szCs w:val="22"/>
        </w:rPr>
        <w:t>ancarias</w:t>
      </w:r>
      <w:r w:rsidR="00CD4B73" w:rsidRPr="00E230AD">
        <w:rPr>
          <w:rFonts w:ascii="Consolas" w:hAnsi="Consolas"/>
          <w:sz w:val="22"/>
          <w:szCs w:val="22"/>
        </w:rPr>
        <w:t xml:space="preserve"> </w:t>
      </w:r>
      <w:r w:rsidR="006457D9" w:rsidRPr="00E230AD">
        <w:rPr>
          <w:rFonts w:ascii="Consolas" w:hAnsi="Consolas"/>
          <w:sz w:val="22"/>
          <w:szCs w:val="22"/>
        </w:rPr>
        <w:t>que</w:t>
      </w:r>
      <w:r w:rsidR="0044222F" w:rsidRPr="00E230AD">
        <w:rPr>
          <w:rFonts w:ascii="Consolas" w:hAnsi="Consolas"/>
          <w:sz w:val="22"/>
          <w:szCs w:val="22"/>
        </w:rPr>
        <w:t xml:space="preserve"> reflejan </w:t>
      </w:r>
      <w:r w:rsidR="006457D9" w:rsidRPr="00E230AD">
        <w:rPr>
          <w:rFonts w:ascii="Consolas" w:hAnsi="Consolas"/>
          <w:sz w:val="22"/>
          <w:szCs w:val="22"/>
        </w:rPr>
        <w:t>el efectivo y equivalentes en posesión de la Entidad der</w:t>
      </w:r>
      <w:r w:rsidR="008F45F9" w:rsidRPr="00E230AD">
        <w:rPr>
          <w:rFonts w:ascii="Consolas" w:hAnsi="Consolas"/>
          <w:sz w:val="22"/>
          <w:szCs w:val="22"/>
        </w:rPr>
        <w:t xml:space="preserve">ivados de los ingresos propios </w:t>
      </w:r>
      <w:r w:rsidR="006457D9" w:rsidRPr="00E230AD">
        <w:rPr>
          <w:rFonts w:ascii="Consolas" w:hAnsi="Consolas"/>
          <w:sz w:val="22"/>
          <w:szCs w:val="22"/>
        </w:rPr>
        <w:t>así</w:t>
      </w:r>
      <w:r w:rsidR="008F45F9" w:rsidRPr="00E230AD">
        <w:rPr>
          <w:rFonts w:ascii="Consolas" w:hAnsi="Consolas"/>
          <w:sz w:val="22"/>
          <w:szCs w:val="22"/>
        </w:rPr>
        <w:t xml:space="preserve"> como</w:t>
      </w:r>
      <w:r w:rsidR="00A474A3" w:rsidRPr="00E230AD">
        <w:rPr>
          <w:rFonts w:ascii="Consolas" w:hAnsi="Consolas"/>
          <w:sz w:val="22"/>
          <w:szCs w:val="22"/>
        </w:rPr>
        <w:t xml:space="preserve"> </w:t>
      </w:r>
      <w:r w:rsidR="00051C59" w:rsidRPr="00E230AD">
        <w:rPr>
          <w:rFonts w:ascii="Consolas" w:hAnsi="Consolas"/>
          <w:sz w:val="22"/>
          <w:szCs w:val="22"/>
        </w:rPr>
        <w:t xml:space="preserve">los </w:t>
      </w:r>
      <w:r w:rsidR="00D47196" w:rsidRPr="00E230AD">
        <w:rPr>
          <w:rFonts w:ascii="Consolas" w:hAnsi="Consolas"/>
          <w:sz w:val="22"/>
          <w:szCs w:val="22"/>
        </w:rPr>
        <w:t>Donativos</w:t>
      </w:r>
      <w:r w:rsidR="00051C59" w:rsidRPr="00E230AD">
        <w:rPr>
          <w:rFonts w:ascii="Consolas" w:hAnsi="Consolas"/>
          <w:sz w:val="22"/>
          <w:szCs w:val="22"/>
        </w:rPr>
        <w:t xml:space="preserve"> y </w:t>
      </w:r>
      <w:r w:rsidR="00D47196" w:rsidRPr="00E230AD">
        <w:rPr>
          <w:rFonts w:ascii="Consolas" w:hAnsi="Consolas"/>
          <w:sz w:val="22"/>
          <w:szCs w:val="22"/>
        </w:rPr>
        <w:t>Transferencias de Recursos Fiscales</w:t>
      </w:r>
      <w:r w:rsidR="008F45F9" w:rsidRPr="00E230AD">
        <w:rPr>
          <w:rFonts w:ascii="Consolas" w:hAnsi="Consolas"/>
          <w:sz w:val="22"/>
          <w:szCs w:val="22"/>
        </w:rPr>
        <w:t xml:space="preserve"> por un importe de </w:t>
      </w:r>
      <w:r w:rsidR="00BA1E58" w:rsidRPr="00E230AD">
        <w:rPr>
          <w:rFonts w:ascii="Consolas" w:hAnsi="Consolas"/>
          <w:sz w:val="22"/>
          <w:szCs w:val="22"/>
        </w:rPr>
        <w:t xml:space="preserve">$ </w:t>
      </w:r>
      <w:r w:rsidR="002F6F59">
        <w:rPr>
          <w:rFonts w:ascii="Consolas" w:hAnsi="Consolas"/>
          <w:sz w:val="22"/>
          <w:szCs w:val="22"/>
        </w:rPr>
        <w:t>76,549.96</w:t>
      </w:r>
    </w:p>
    <w:tbl>
      <w:tblPr>
        <w:tblW w:w="4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</w:tblGrid>
      <w:tr w:rsidR="00BA1E58" w:rsidRPr="00E230AD" w:rsidTr="00F61938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1E58" w:rsidRPr="00E230AD" w:rsidRDefault="00BA1E58" w:rsidP="00BA1E58">
            <w:pPr>
              <w:rPr>
                <w:rFonts w:ascii="Consolas" w:hAnsi="Consolas" w:cs="Arial"/>
                <w:sz w:val="28"/>
                <w:lang w:eastAsia="es-MX"/>
              </w:rPr>
            </w:pPr>
          </w:p>
        </w:tc>
      </w:tr>
    </w:tbl>
    <w:p w:rsidR="0046197E" w:rsidRPr="00E230AD" w:rsidRDefault="0046197E" w:rsidP="0046197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both"/>
        <w:rPr>
          <w:rFonts w:ascii="Consolas" w:hAnsi="Consolas" w:cs="Arial"/>
          <w:spacing w:val="-3"/>
          <w:szCs w:val="22"/>
        </w:rPr>
      </w:pPr>
      <w:r w:rsidRPr="00E230AD">
        <w:rPr>
          <w:rFonts w:ascii="Consolas" w:hAnsi="Consolas" w:cs="Arial"/>
          <w:spacing w:val="-3"/>
          <w:sz w:val="22"/>
          <w:szCs w:val="22"/>
        </w:rPr>
        <w:t xml:space="preserve">El Efectivo en Caja, se integra por la cantidad de          $        </w:t>
      </w:r>
      <w:r w:rsidR="00BC17DC">
        <w:rPr>
          <w:rFonts w:ascii="Consolas" w:hAnsi="Consolas" w:cs="Arial"/>
          <w:spacing w:val="-3"/>
          <w:sz w:val="22"/>
          <w:szCs w:val="22"/>
        </w:rPr>
        <w:t>2</w:t>
      </w:r>
      <w:r w:rsidR="000C0072">
        <w:rPr>
          <w:rFonts w:ascii="Consolas" w:hAnsi="Consolas" w:cs="Arial"/>
          <w:spacing w:val="-3"/>
          <w:sz w:val="22"/>
          <w:szCs w:val="22"/>
        </w:rPr>
        <w:t>,</w:t>
      </w:r>
      <w:r w:rsidR="00BC17DC">
        <w:rPr>
          <w:rFonts w:ascii="Consolas" w:hAnsi="Consolas" w:cs="Arial"/>
          <w:spacing w:val="-3"/>
          <w:sz w:val="22"/>
          <w:szCs w:val="22"/>
        </w:rPr>
        <w:t>000.00</w:t>
      </w:r>
    </w:p>
    <w:p w:rsidR="0046197E" w:rsidRPr="00E230AD" w:rsidRDefault="0046197E" w:rsidP="0046197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both"/>
        <w:rPr>
          <w:rFonts w:ascii="Consolas" w:hAnsi="Consolas" w:cs="Arial"/>
          <w:spacing w:val="-3"/>
          <w:sz w:val="22"/>
          <w:szCs w:val="22"/>
        </w:rPr>
      </w:pPr>
    </w:p>
    <w:p w:rsidR="0046197E" w:rsidRPr="00E230AD" w:rsidRDefault="0046197E" w:rsidP="0046197E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 w:cs="Arial"/>
          <w:spacing w:val="-3"/>
          <w:sz w:val="22"/>
          <w:szCs w:val="22"/>
        </w:rPr>
        <w:t>La cuenta de bancos se integra por</w:t>
      </w:r>
      <w:r w:rsidR="00BA1E58" w:rsidRPr="00E230AD">
        <w:rPr>
          <w:rFonts w:ascii="Consolas" w:hAnsi="Consolas" w:cs="Arial"/>
          <w:spacing w:val="-3"/>
          <w:sz w:val="22"/>
          <w:szCs w:val="22"/>
        </w:rPr>
        <w:t xml:space="preserve"> los diferentes importes que se detallan a continuación, considerando el banco y sus importes de mayo</w:t>
      </w:r>
      <w:r w:rsidR="00BD15FD" w:rsidRPr="00E230AD">
        <w:rPr>
          <w:rFonts w:ascii="Consolas" w:hAnsi="Consolas" w:cs="Arial"/>
          <w:spacing w:val="-3"/>
          <w:sz w:val="22"/>
          <w:szCs w:val="22"/>
        </w:rPr>
        <w:t xml:space="preserve">r a menor según los saldos al </w:t>
      </w:r>
      <w:r w:rsidR="00B85B24">
        <w:rPr>
          <w:rFonts w:ascii="Consolas" w:hAnsi="Consolas" w:cs="Arial"/>
          <w:spacing w:val="-3"/>
          <w:sz w:val="22"/>
          <w:szCs w:val="22"/>
        </w:rPr>
        <w:t>3</w:t>
      </w:r>
      <w:r w:rsidR="002F6F59">
        <w:rPr>
          <w:rFonts w:ascii="Consolas" w:hAnsi="Consolas" w:cs="Arial"/>
          <w:spacing w:val="-3"/>
          <w:sz w:val="22"/>
          <w:szCs w:val="22"/>
        </w:rPr>
        <w:t>1</w:t>
      </w:r>
      <w:r w:rsidR="000C0072">
        <w:rPr>
          <w:rFonts w:ascii="Consolas" w:hAnsi="Consolas" w:cs="Arial"/>
          <w:spacing w:val="-3"/>
          <w:sz w:val="22"/>
          <w:szCs w:val="22"/>
        </w:rPr>
        <w:t xml:space="preserve"> de </w:t>
      </w:r>
      <w:r w:rsidR="002F6F59">
        <w:rPr>
          <w:rFonts w:ascii="Consolas" w:hAnsi="Consolas" w:cs="Arial"/>
          <w:spacing w:val="-3"/>
          <w:sz w:val="22"/>
          <w:szCs w:val="22"/>
        </w:rPr>
        <w:t>diciembre</w:t>
      </w:r>
      <w:r w:rsidR="00B85B24">
        <w:rPr>
          <w:rFonts w:ascii="Consolas" w:hAnsi="Consolas" w:cs="Arial"/>
          <w:spacing w:val="-3"/>
          <w:sz w:val="22"/>
          <w:szCs w:val="22"/>
        </w:rPr>
        <w:t xml:space="preserve"> de </w:t>
      </w:r>
      <w:r w:rsidR="00BC17DC">
        <w:rPr>
          <w:rFonts w:ascii="Consolas" w:hAnsi="Consolas" w:cs="Arial"/>
          <w:spacing w:val="-3"/>
          <w:sz w:val="22"/>
          <w:szCs w:val="22"/>
        </w:rPr>
        <w:t xml:space="preserve"> 2020</w:t>
      </w:r>
    </w:p>
    <w:p w:rsidR="00051C59" w:rsidRPr="00E230AD" w:rsidRDefault="00051C59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5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931"/>
      </w:tblGrid>
      <w:tr w:rsidR="005E5209" w:rsidRPr="00E230AD" w:rsidTr="00FA542C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E5209" w:rsidRPr="00E230AD" w:rsidRDefault="005E5209" w:rsidP="005E5209">
            <w:pPr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eastAsia="es-MX"/>
              </w:rPr>
              <w:t>BANCO Y NUMERO CTA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E5209" w:rsidRPr="00E230AD" w:rsidRDefault="00D62DF8" w:rsidP="005E5209">
            <w:pPr>
              <w:rPr>
                <w:rFonts w:ascii="Consolas" w:hAnsi="Consolas" w:cs="Arial"/>
                <w:lang w:eastAsia="es-MX"/>
              </w:rPr>
            </w:pPr>
            <w:r>
              <w:rPr>
                <w:rFonts w:ascii="Consolas" w:hAnsi="Consolas" w:cs="Arial"/>
                <w:lang w:eastAsia="es-MX"/>
              </w:rPr>
              <w:t xml:space="preserve">               </w:t>
            </w:r>
            <w:r w:rsidR="005E5209" w:rsidRPr="00E230AD">
              <w:rPr>
                <w:rFonts w:ascii="Consolas" w:hAnsi="Consolas" w:cs="Arial"/>
                <w:lang w:eastAsia="es-MX"/>
              </w:rPr>
              <w:t>IMPORTE</w:t>
            </w:r>
          </w:p>
        </w:tc>
      </w:tr>
      <w:tr w:rsidR="005E5209" w:rsidRPr="00E230AD" w:rsidTr="00FA542C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E5209" w:rsidRPr="00E230AD" w:rsidRDefault="00D47196" w:rsidP="00BD15FD">
            <w:pPr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>SCOTIABANK</w:t>
            </w:r>
            <w:r w:rsidR="005E5209" w:rsidRPr="00E230AD"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 xml:space="preserve"> CTA </w:t>
            </w:r>
            <w:r w:rsidR="00BD15FD" w:rsidRPr="00E230AD"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>11200039047</w:t>
            </w:r>
            <w:r w:rsidR="005E5209" w:rsidRPr="00E230AD"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E5209" w:rsidRPr="00316D2A" w:rsidRDefault="00F90ED3" w:rsidP="00B85B24">
            <w:pPr>
              <w:jc w:val="right"/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>19,234.48</w:t>
            </w:r>
          </w:p>
        </w:tc>
      </w:tr>
      <w:tr w:rsidR="00D62DF8" w:rsidRPr="00E230AD" w:rsidTr="00D62DF8">
        <w:trPr>
          <w:trHeight w:val="32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2DF8" w:rsidRPr="00E230AD" w:rsidRDefault="00D62DF8" w:rsidP="00EC4D11">
            <w:pPr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 xml:space="preserve">SCOTIABANK CTA 11202587548 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2DF8" w:rsidRPr="00316D2A" w:rsidRDefault="00F90ED3" w:rsidP="00F90ED3">
            <w:pPr>
              <w:jc w:val="right"/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>55,315.48</w:t>
            </w:r>
          </w:p>
        </w:tc>
      </w:tr>
      <w:tr w:rsidR="00D62DF8" w:rsidRPr="00E230AD" w:rsidTr="00FA542C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62DF8" w:rsidRPr="00E230AD" w:rsidRDefault="00D62DF8" w:rsidP="005E5209">
            <w:pPr>
              <w:rPr>
                <w:rFonts w:ascii="Consolas" w:hAnsi="Consolas" w:cs="Arial"/>
                <w:b/>
                <w:sz w:val="28"/>
                <w:lang w:eastAsia="es-MX"/>
              </w:rPr>
            </w:pPr>
            <w:r w:rsidRPr="00E230AD">
              <w:rPr>
                <w:rFonts w:ascii="Consolas" w:hAnsi="Consolas" w:cs="Arial"/>
                <w:b/>
                <w:sz w:val="22"/>
                <w:lang w:eastAsia="es-MX"/>
              </w:rPr>
              <w:t>TOTAL CAJA Y BANCOS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2DF8" w:rsidRPr="00E230AD" w:rsidRDefault="00F90ED3" w:rsidP="006859E7">
            <w:pPr>
              <w:jc w:val="right"/>
              <w:rPr>
                <w:rFonts w:ascii="Consolas" w:hAnsi="Consolas" w:cs="Arial"/>
                <w:b/>
                <w:sz w:val="24"/>
                <w:lang w:eastAsia="es-MX"/>
              </w:rPr>
            </w:pPr>
            <w:r>
              <w:rPr>
                <w:rFonts w:ascii="Consolas" w:hAnsi="Consolas" w:cs="Arial"/>
                <w:b/>
                <w:sz w:val="24"/>
                <w:lang w:eastAsia="es-MX"/>
              </w:rPr>
              <w:t>76,549.96</w:t>
            </w:r>
          </w:p>
        </w:tc>
      </w:tr>
    </w:tbl>
    <w:p w:rsidR="00424F55" w:rsidRPr="00E230AD" w:rsidRDefault="00424F55" w:rsidP="00424F55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24F55" w:rsidRPr="00E230AD" w:rsidRDefault="00424F55" w:rsidP="00424F55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D5A86" w:rsidRPr="00E230AD" w:rsidRDefault="00C24F48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 2</w:t>
      </w:r>
      <w:r w:rsidR="00C71488" w:rsidRPr="00E230AD">
        <w:rPr>
          <w:rFonts w:ascii="Consolas" w:hAnsi="Consolas"/>
          <w:b/>
          <w:sz w:val="22"/>
          <w:szCs w:val="22"/>
        </w:rPr>
        <w:t>.-</w:t>
      </w:r>
      <w:r w:rsidR="00424F55" w:rsidRPr="00E230AD">
        <w:rPr>
          <w:rFonts w:ascii="Consolas" w:hAnsi="Consolas"/>
          <w:b/>
          <w:sz w:val="22"/>
          <w:szCs w:val="22"/>
        </w:rPr>
        <w:t xml:space="preserve">DERECHOS A RECIBIR </w:t>
      </w:r>
      <w:r w:rsidR="00D47196" w:rsidRPr="00E230AD">
        <w:rPr>
          <w:rFonts w:ascii="Consolas" w:hAnsi="Consolas"/>
          <w:b/>
          <w:sz w:val="22"/>
          <w:szCs w:val="22"/>
        </w:rPr>
        <w:t>EFECTIVOS Y EQUIVALENTES</w:t>
      </w:r>
      <w:r w:rsidR="00C21DEC" w:rsidRPr="00E230AD">
        <w:rPr>
          <w:rFonts w:ascii="Consolas" w:hAnsi="Consolas"/>
          <w:b/>
          <w:sz w:val="22"/>
          <w:szCs w:val="22"/>
        </w:rPr>
        <w:t>:</w:t>
      </w:r>
    </w:p>
    <w:p w:rsidR="00C21DEC" w:rsidRPr="00E230AD" w:rsidRDefault="00C21D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 xml:space="preserve">Representadas principalmente por </w:t>
      </w:r>
      <w:r w:rsidR="00D47196" w:rsidRPr="00E230AD">
        <w:rPr>
          <w:rFonts w:ascii="Consolas" w:hAnsi="Consolas"/>
          <w:b/>
          <w:sz w:val="22"/>
          <w:szCs w:val="22"/>
        </w:rPr>
        <w:t>Subsidio al Empleo</w:t>
      </w:r>
      <w:r w:rsidR="00424F55" w:rsidRPr="00E230AD">
        <w:rPr>
          <w:rFonts w:ascii="Consolas" w:hAnsi="Consolas"/>
          <w:b/>
          <w:sz w:val="22"/>
          <w:szCs w:val="22"/>
        </w:rPr>
        <w:t>, Cuentas por Cobrar a Corto Plazo</w:t>
      </w:r>
      <w:r w:rsidR="00D47196" w:rsidRPr="00E230AD">
        <w:rPr>
          <w:rFonts w:ascii="Consolas" w:hAnsi="Consolas"/>
          <w:b/>
          <w:sz w:val="22"/>
          <w:szCs w:val="22"/>
        </w:rPr>
        <w:t xml:space="preserve"> y</w:t>
      </w:r>
      <w:r w:rsidR="00D47196" w:rsidRPr="00E230AD">
        <w:rPr>
          <w:rFonts w:ascii="Consolas" w:hAnsi="Consolas"/>
          <w:sz w:val="22"/>
          <w:szCs w:val="22"/>
        </w:rPr>
        <w:t xml:space="preserve"> </w:t>
      </w:r>
      <w:r w:rsidR="00D47196" w:rsidRPr="00E230AD">
        <w:rPr>
          <w:rFonts w:ascii="Consolas" w:hAnsi="Consolas"/>
          <w:b/>
          <w:sz w:val="22"/>
          <w:szCs w:val="22"/>
        </w:rPr>
        <w:t>Deudores Diversos</w:t>
      </w:r>
      <w:r w:rsidRPr="00E230AD">
        <w:rPr>
          <w:rFonts w:ascii="Consolas" w:hAnsi="Consolas"/>
          <w:sz w:val="22"/>
          <w:szCs w:val="22"/>
        </w:rPr>
        <w:t xml:space="preserve"> </w:t>
      </w:r>
      <w:r w:rsidRPr="00E230AD">
        <w:rPr>
          <w:rFonts w:ascii="Consolas" w:hAnsi="Consolas"/>
          <w:b/>
          <w:sz w:val="22"/>
          <w:szCs w:val="22"/>
        </w:rPr>
        <w:t>por cobrar a corto plazo</w:t>
      </w:r>
      <w:r w:rsidRPr="00E230AD">
        <w:rPr>
          <w:rFonts w:ascii="Consolas" w:hAnsi="Consolas"/>
          <w:sz w:val="22"/>
          <w:szCs w:val="22"/>
        </w:rPr>
        <w:t xml:space="preserve">. </w:t>
      </w:r>
      <w:r w:rsidR="00D47196" w:rsidRPr="00E230AD">
        <w:rPr>
          <w:rFonts w:ascii="Consolas" w:hAnsi="Consolas"/>
          <w:sz w:val="22"/>
          <w:szCs w:val="22"/>
        </w:rPr>
        <w:t>A</w:t>
      </w:r>
      <w:r w:rsidR="00FA542C" w:rsidRPr="00E230AD">
        <w:rPr>
          <w:rFonts w:ascii="Consolas" w:hAnsi="Consolas"/>
          <w:sz w:val="22"/>
          <w:szCs w:val="22"/>
        </w:rPr>
        <w:t xml:space="preserve">l </w:t>
      </w:r>
      <w:r w:rsidR="005B139A" w:rsidRPr="00E230AD">
        <w:rPr>
          <w:rFonts w:ascii="Consolas" w:hAnsi="Consolas"/>
          <w:sz w:val="22"/>
          <w:szCs w:val="22"/>
        </w:rPr>
        <w:t>3</w:t>
      </w:r>
      <w:r w:rsidR="00F90ED3">
        <w:rPr>
          <w:rFonts w:ascii="Consolas" w:hAnsi="Consolas"/>
          <w:sz w:val="22"/>
          <w:szCs w:val="22"/>
        </w:rPr>
        <w:t>1</w:t>
      </w:r>
      <w:r w:rsidR="00B85B24">
        <w:rPr>
          <w:rFonts w:ascii="Consolas" w:hAnsi="Consolas"/>
          <w:sz w:val="22"/>
          <w:szCs w:val="22"/>
        </w:rPr>
        <w:t xml:space="preserve"> de </w:t>
      </w:r>
      <w:r w:rsidR="00F90ED3">
        <w:rPr>
          <w:rFonts w:ascii="Consolas" w:hAnsi="Consolas"/>
          <w:sz w:val="22"/>
          <w:szCs w:val="22"/>
        </w:rPr>
        <w:t>diciembre</w:t>
      </w:r>
      <w:r w:rsidR="004257EB">
        <w:rPr>
          <w:rFonts w:ascii="Consolas" w:hAnsi="Consolas"/>
          <w:sz w:val="22"/>
          <w:szCs w:val="22"/>
        </w:rPr>
        <w:t xml:space="preserve"> del 2020</w:t>
      </w:r>
      <w:r w:rsidRPr="00E230AD">
        <w:rPr>
          <w:rFonts w:ascii="Consolas" w:hAnsi="Consolas"/>
          <w:sz w:val="22"/>
          <w:szCs w:val="22"/>
        </w:rPr>
        <w:t xml:space="preserve"> este rubro cerró</w:t>
      </w:r>
      <w:r w:rsidR="00FA542C" w:rsidRPr="00E230AD">
        <w:rPr>
          <w:rFonts w:ascii="Consolas" w:hAnsi="Consolas"/>
          <w:sz w:val="22"/>
          <w:szCs w:val="22"/>
        </w:rPr>
        <w:t xml:space="preserve"> con un importe de   </w:t>
      </w:r>
      <w:r w:rsidR="00FA542C" w:rsidRPr="00E230AD">
        <w:rPr>
          <w:rFonts w:ascii="Consolas" w:hAnsi="Consolas" w:cs="Arial"/>
        </w:rPr>
        <w:t>$</w:t>
      </w:r>
      <w:r w:rsidR="00D47196" w:rsidRPr="00E230AD">
        <w:rPr>
          <w:rFonts w:ascii="Consolas" w:hAnsi="Consolas" w:cs="Arial"/>
        </w:rPr>
        <w:t xml:space="preserve"> </w:t>
      </w:r>
      <w:r w:rsidR="00F90ED3">
        <w:rPr>
          <w:rFonts w:ascii="Consolas" w:hAnsi="Consolas" w:cs="Arial"/>
        </w:rPr>
        <w:t>920,160.11</w:t>
      </w:r>
    </w:p>
    <w:p w:rsidR="00C71488" w:rsidRPr="00E230AD" w:rsidRDefault="008129CE" w:rsidP="000C5782">
      <w:pPr>
        <w:pStyle w:val="Textopredeterminado"/>
        <w:jc w:val="both"/>
        <w:rPr>
          <w:rFonts w:ascii="Consolas" w:hAnsi="Consolas"/>
          <w:b/>
          <w:sz w:val="22"/>
          <w:szCs w:val="22"/>
          <w:u w:val="single"/>
        </w:rPr>
      </w:pP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  <w:t xml:space="preserve">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7"/>
        <w:gridCol w:w="3019"/>
      </w:tblGrid>
      <w:tr w:rsidR="00826D23" w:rsidRPr="00E230AD" w:rsidTr="00C24F48">
        <w:tc>
          <w:tcPr>
            <w:tcW w:w="6487" w:type="dxa"/>
          </w:tcPr>
          <w:p w:rsidR="00826D23" w:rsidRPr="00E230AD" w:rsidRDefault="00D47196" w:rsidP="000C5782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 w:rsidRPr="00E230AD">
              <w:rPr>
                <w:rFonts w:ascii="Consolas" w:hAnsi="Consolas"/>
                <w:b/>
                <w:sz w:val="22"/>
                <w:szCs w:val="22"/>
              </w:rPr>
              <w:t>Cuenta/Concepto</w:t>
            </w:r>
          </w:p>
        </w:tc>
        <w:tc>
          <w:tcPr>
            <w:tcW w:w="3019" w:type="dxa"/>
          </w:tcPr>
          <w:p w:rsidR="00826D23" w:rsidRPr="00E230AD" w:rsidRDefault="00F90ED3" w:rsidP="00B85B24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>
              <w:rPr>
                <w:rFonts w:ascii="Consolas" w:hAnsi="Consolas"/>
                <w:b/>
                <w:sz w:val="22"/>
                <w:szCs w:val="22"/>
              </w:rPr>
              <w:t>31 de diciembre de</w:t>
            </w:r>
            <w:r w:rsidR="004257EB">
              <w:rPr>
                <w:rFonts w:ascii="Consolas" w:hAnsi="Consolas"/>
                <w:b/>
                <w:sz w:val="22"/>
                <w:szCs w:val="22"/>
              </w:rPr>
              <w:t xml:space="preserve"> 2020</w:t>
            </w:r>
          </w:p>
        </w:tc>
      </w:tr>
      <w:tr w:rsidR="002E2026" w:rsidRPr="00E230AD" w:rsidTr="00C24F48">
        <w:tc>
          <w:tcPr>
            <w:tcW w:w="6487" w:type="dxa"/>
          </w:tcPr>
          <w:p w:rsidR="002E2026" w:rsidRPr="00E230AD" w:rsidRDefault="002E2026" w:rsidP="002E2026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E230AD">
              <w:rPr>
                <w:rFonts w:ascii="Consolas" w:hAnsi="Consolas"/>
                <w:sz w:val="22"/>
                <w:szCs w:val="22"/>
              </w:rPr>
              <w:t>Cuentas por Cobrar a Corto Plazo</w:t>
            </w:r>
          </w:p>
        </w:tc>
        <w:tc>
          <w:tcPr>
            <w:tcW w:w="3019" w:type="dxa"/>
          </w:tcPr>
          <w:p w:rsidR="002E2026" w:rsidRPr="002E2026" w:rsidRDefault="002E2026" w:rsidP="002E2026">
            <w:pPr>
              <w:jc w:val="right"/>
              <w:rPr>
                <w:rFonts w:ascii="Consolas" w:hAnsi="Consolas"/>
                <w:sz w:val="22"/>
              </w:rPr>
            </w:pPr>
            <w:r w:rsidRPr="002E2026">
              <w:rPr>
                <w:rFonts w:ascii="Consolas" w:hAnsi="Consolas"/>
                <w:sz w:val="22"/>
              </w:rPr>
              <w:t>8</w:t>
            </w:r>
            <w:r w:rsidR="004257EB">
              <w:rPr>
                <w:rFonts w:ascii="Consolas" w:hAnsi="Consolas"/>
                <w:sz w:val="22"/>
              </w:rPr>
              <w:t>31,162.</w:t>
            </w:r>
            <w:r w:rsidRPr="002E2026">
              <w:rPr>
                <w:rFonts w:ascii="Consolas" w:hAnsi="Consolas"/>
                <w:sz w:val="22"/>
              </w:rPr>
              <w:t xml:space="preserve">04 </w:t>
            </w:r>
          </w:p>
        </w:tc>
      </w:tr>
      <w:tr w:rsidR="002E2026" w:rsidRPr="00E230AD" w:rsidTr="00C24F48">
        <w:tc>
          <w:tcPr>
            <w:tcW w:w="6487" w:type="dxa"/>
          </w:tcPr>
          <w:p w:rsidR="002E2026" w:rsidRPr="00E230AD" w:rsidRDefault="002E2026" w:rsidP="002E2026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E230AD">
              <w:rPr>
                <w:rFonts w:ascii="Consolas" w:hAnsi="Consolas"/>
                <w:sz w:val="22"/>
                <w:szCs w:val="22"/>
              </w:rPr>
              <w:t>Deudores Diversos por cobrar a corto plazo</w:t>
            </w:r>
          </w:p>
        </w:tc>
        <w:tc>
          <w:tcPr>
            <w:tcW w:w="3019" w:type="dxa"/>
          </w:tcPr>
          <w:p w:rsidR="002E2026" w:rsidRPr="002E2026" w:rsidRDefault="00F90ED3" w:rsidP="002E2026">
            <w:pPr>
              <w:jc w:val="right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z w:val="22"/>
              </w:rPr>
              <w:t>88,998.07</w:t>
            </w:r>
            <w:r w:rsidR="002E2026" w:rsidRPr="002E2026">
              <w:rPr>
                <w:rFonts w:ascii="Consolas" w:hAnsi="Consolas"/>
                <w:sz w:val="22"/>
              </w:rPr>
              <w:t xml:space="preserve"> </w:t>
            </w:r>
          </w:p>
        </w:tc>
      </w:tr>
      <w:tr w:rsidR="00C71488" w:rsidRPr="00E230AD" w:rsidTr="00C24F48">
        <w:tc>
          <w:tcPr>
            <w:tcW w:w="6487" w:type="dxa"/>
          </w:tcPr>
          <w:p w:rsidR="00C71488" w:rsidRPr="00E230AD" w:rsidRDefault="005307D6" w:rsidP="000C5782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 w:rsidRPr="00E230AD">
              <w:rPr>
                <w:rFonts w:ascii="Consolas" w:hAnsi="Consolas"/>
                <w:b/>
                <w:sz w:val="22"/>
                <w:szCs w:val="22"/>
              </w:rPr>
              <w:t>Total</w:t>
            </w:r>
          </w:p>
        </w:tc>
        <w:tc>
          <w:tcPr>
            <w:tcW w:w="3019" w:type="dxa"/>
          </w:tcPr>
          <w:p w:rsidR="00C71488" w:rsidRPr="00B85B24" w:rsidRDefault="003D5197" w:rsidP="00B85B24">
            <w:pPr>
              <w:jc w:val="right"/>
              <w:rPr>
                <w:rFonts w:ascii="Consolas" w:hAnsi="Consolas" w:cs="Arial"/>
                <w:b/>
                <w:sz w:val="24"/>
              </w:rPr>
            </w:pPr>
            <w:r w:rsidRPr="00E230AD">
              <w:rPr>
                <w:rFonts w:ascii="Consolas" w:hAnsi="Consolas" w:cs="Arial"/>
                <w:b/>
                <w:sz w:val="24"/>
              </w:rPr>
              <w:t>$</w:t>
            </w:r>
            <w:r w:rsidR="00D47196" w:rsidRPr="00E230AD">
              <w:rPr>
                <w:rFonts w:ascii="Consolas" w:hAnsi="Consolas" w:cs="Arial"/>
                <w:b/>
                <w:sz w:val="24"/>
              </w:rPr>
              <w:t xml:space="preserve"> </w:t>
            </w:r>
            <w:r w:rsidR="00F90ED3">
              <w:rPr>
                <w:rFonts w:ascii="Consolas" w:hAnsi="Consolas" w:cs="Arial"/>
                <w:b/>
                <w:sz w:val="24"/>
              </w:rPr>
              <w:t>920,160.11</w:t>
            </w:r>
          </w:p>
        </w:tc>
      </w:tr>
    </w:tbl>
    <w:p w:rsidR="005B6D09" w:rsidRPr="00E230AD" w:rsidRDefault="005B6D09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21DEC" w:rsidRPr="00E230AD" w:rsidRDefault="00C21D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6A3493" w:rsidRPr="00E230AD" w:rsidRDefault="007F3871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ACTIVO NO CIRCULANTE</w:t>
      </w:r>
      <w:r w:rsidR="005D5A86" w:rsidRPr="00E230AD">
        <w:rPr>
          <w:rFonts w:ascii="Consolas" w:hAnsi="Consolas"/>
          <w:b/>
          <w:sz w:val="22"/>
          <w:szCs w:val="22"/>
        </w:rPr>
        <w:t>.-</w:t>
      </w:r>
    </w:p>
    <w:p w:rsidR="005D5A86" w:rsidRPr="00E230AD" w:rsidRDefault="005D5A8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314F94" w:rsidRPr="00E230AD" w:rsidRDefault="00314F9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0299F" w:rsidRPr="00E230AD" w:rsidRDefault="00EC227E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</w:t>
      </w:r>
      <w:r w:rsidR="007507E0" w:rsidRPr="00E230AD">
        <w:rPr>
          <w:rFonts w:ascii="Consolas" w:hAnsi="Consolas"/>
          <w:b/>
          <w:sz w:val="22"/>
          <w:szCs w:val="22"/>
        </w:rPr>
        <w:t xml:space="preserve"> </w:t>
      </w:r>
      <w:r w:rsidR="00091FCE" w:rsidRPr="00E230AD">
        <w:rPr>
          <w:rFonts w:ascii="Consolas" w:hAnsi="Consolas"/>
          <w:b/>
          <w:sz w:val="22"/>
          <w:szCs w:val="22"/>
        </w:rPr>
        <w:t>3</w:t>
      </w:r>
      <w:r w:rsidR="007507E0" w:rsidRPr="00E230AD">
        <w:rPr>
          <w:rFonts w:ascii="Consolas" w:hAnsi="Consolas"/>
          <w:b/>
          <w:sz w:val="22"/>
          <w:szCs w:val="22"/>
        </w:rPr>
        <w:t>.-</w:t>
      </w:r>
      <w:r w:rsidR="00D47196" w:rsidRPr="00E230AD">
        <w:rPr>
          <w:rFonts w:ascii="Consolas" w:hAnsi="Consolas"/>
          <w:b/>
          <w:sz w:val="22"/>
          <w:szCs w:val="22"/>
        </w:rPr>
        <w:t xml:space="preserve"> </w:t>
      </w:r>
      <w:r w:rsidR="00702654" w:rsidRPr="00E230AD">
        <w:rPr>
          <w:rFonts w:ascii="Consolas" w:hAnsi="Consolas"/>
          <w:b/>
          <w:sz w:val="22"/>
          <w:szCs w:val="22"/>
        </w:rPr>
        <w:t>BIENES MUEBLES</w:t>
      </w:r>
      <w:r w:rsidR="007507E0" w:rsidRPr="00E230AD">
        <w:rPr>
          <w:rFonts w:ascii="Consolas" w:hAnsi="Consolas"/>
          <w:b/>
          <w:sz w:val="22"/>
          <w:szCs w:val="22"/>
        </w:rPr>
        <w:t>:</w:t>
      </w:r>
    </w:p>
    <w:p w:rsidR="007507E0" w:rsidRPr="00E230AD" w:rsidRDefault="007507E0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47734" w:rsidRPr="00E230AD" w:rsidRDefault="002E54C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3</w:t>
      </w:r>
      <w:r w:rsidR="00091FCE" w:rsidRPr="00E230AD">
        <w:rPr>
          <w:rFonts w:ascii="Consolas" w:hAnsi="Consolas"/>
          <w:b/>
          <w:sz w:val="22"/>
          <w:szCs w:val="22"/>
        </w:rPr>
        <w:t>.1.-</w:t>
      </w:r>
      <w:r w:rsidR="00447734" w:rsidRPr="00E230AD">
        <w:rPr>
          <w:rFonts w:ascii="Consolas" w:hAnsi="Consolas"/>
          <w:b/>
          <w:sz w:val="22"/>
          <w:szCs w:val="22"/>
        </w:rPr>
        <w:t>Mobiliario y equipo de administración:</w:t>
      </w:r>
    </w:p>
    <w:p w:rsidR="00447734" w:rsidRPr="00E230AD" w:rsidRDefault="0044773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47734" w:rsidRPr="00E230AD" w:rsidRDefault="0044773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>Este activo no circul</w:t>
      </w:r>
      <w:r w:rsidR="00F20416" w:rsidRPr="00E230AD">
        <w:rPr>
          <w:rFonts w:ascii="Consolas" w:hAnsi="Consolas"/>
          <w:sz w:val="22"/>
          <w:szCs w:val="22"/>
        </w:rPr>
        <w:t>ante comprende mobiliario diverso tales como</w:t>
      </w:r>
      <w:r w:rsidR="00560B82" w:rsidRPr="00E230AD">
        <w:rPr>
          <w:rFonts w:ascii="Consolas" w:hAnsi="Consolas"/>
          <w:sz w:val="22"/>
          <w:szCs w:val="22"/>
        </w:rPr>
        <w:t>:</w:t>
      </w:r>
      <w:r w:rsidR="00F20416" w:rsidRPr="00E230AD">
        <w:rPr>
          <w:rFonts w:ascii="Consolas" w:hAnsi="Consolas"/>
          <w:sz w:val="22"/>
          <w:szCs w:val="22"/>
        </w:rPr>
        <w:t xml:space="preserve"> </w:t>
      </w:r>
      <w:r w:rsidR="00560B82" w:rsidRPr="00E230AD">
        <w:rPr>
          <w:rFonts w:ascii="Consolas" w:hAnsi="Consolas"/>
          <w:sz w:val="22"/>
          <w:szCs w:val="22"/>
        </w:rPr>
        <w:t>Mobiliario y equipo de oficina, Mobiliario y equipo, Bienes de Consumo y Equipo de Cómputo,</w:t>
      </w:r>
      <w:r w:rsidRPr="00E230AD">
        <w:rPr>
          <w:rFonts w:ascii="Consolas" w:hAnsi="Consolas"/>
          <w:sz w:val="22"/>
          <w:szCs w:val="22"/>
        </w:rPr>
        <w:t xml:space="preserve"> con un monto </w:t>
      </w:r>
      <w:r w:rsidR="00F20416" w:rsidRPr="00E230AD">
        <w:rPr>
          <w:rFonts w:ascii="Consolas" w:hAnsi="Consolas"/>
          <w:sz w:val="22"/>
          <w:szCs w:val="22"/>
        </w:rPr>
        <w:t xml:space="preserve">al </w:t>
      </w:r>
      <w:r w:rsidR="005B139A" w:rsidRPr="00E230AD">
        <w:rPr>
          <w:rFonts w:ascii="Consolas" w:hAnsi="Consolas"/>
          <w:sz w:val="22"/>
          <w:szCs w:val="22"/>
        </w:rPr>
        <w:t>3</w:t>
      </w:r>
      <w:r w:rsidR="00F90ED3">
        <w:rPr>
          <w:rFonts w:ascii="Consolas" w:hAnsi="Consolas"/>
          <w:sz w:val="22"/>
          <w:szCs w:val="22"/>
        </w:rPr>
        <w:t>1</w:t>
      </w:r>
      <w:r w:rsidR="00B85B24">
        <w:rPr>
          <w:rFonts w:ascii="Consolas" w:hAnsi="Consolas"/>
          <w:sz w:val="22"/>
          <w:szCs w:val="22"/>
        </w:rPr>
        <w:t xml:space="preserve"> de </w:t>
      </w:r>
      <w:r w:rsidR="00F90ED3">
        <w:rPr>
          <w:rFonts w:ascii="Consolas" w:hAnsi="Consolas"/>
          <w:sz w:val="22"/>
          <w:szCs w:val="22"/>
        </w:rPr>
        <w:t>diciembre</w:t>
      </w:r>
      <w:r w:rsidR="004257EB">
        <w:rPr>
          <w:rFonts w:ascii="Consolas" w:hAnsi="Consolas"/>
          <w:sz w:val="22"/>
          <w:szCs w:val="22"/>
        </w:rPr>
        <w:t xml:space="preserve"> de 2020</w:t>
      </w:r>
      <w:r w:rsidR="00902D64" w:rsidRPr="00E230AD">
        <w:rPr>
          <w:rFonts w:ascii="Consolas" w:hAnsi="Consolas"/>
          <w:sz w:val="22"/>
          <w:szCs w:val="22"/>
        </w:rPr>
        <w:t xml:space="preserve"> p</w:t>
      </w:r>
      <w:r w:rsidR="00F20416" w:rsidRPr="00E230AD">
        <w:rPr>
          <w:rFonts w:ascii="Consolas" w:hAnsi="Consolas"/>
          <w:sz w:val="22"/>
          <w:szCs w:val="22"/>
        </w:rPr>
        <w:t>or</w:t>
      </w:r>
      <w:r w:rsidR="00EC227E" w:rsidRPr="00E230AD">
        <w:rPr>
          <w:rFonts w:ascii="Consolas" w:hAnsi="Consolas"/>
          <w:sz w:val="22"/>
          <w:szCs w:val="22"/>
        </w:rPr>
        <w:t xml:space="preserve"> </w:t>
      </w:r>
      <w:r w:rsidR="00F20416" w:rsidRPr="00E230AD">
        <w:rPr>
          <w:rFonts w:ascii="Consolas" w:hAnsi="Consolas"/>
          <w:sz w:val="22"/>
          <w:szCs w:val="22"/>
        </w:rPr>
        <w:t xml:space="preserve"> </w:t>
      </w:r>
      <w:r w:rsidR="00EC227E" w:rsidRPr="00E230AD">
        <w:rPr>
          <w:rFonts w:ascii="Consolas" w:hAnsi="Consolas"/>
          <w:sz w:val="22"/>
          <w:szCs w:val="22"/>
        </w:rPr>
        <w:t xml:space="preserve"> $</w:t>
      </w:r>
      <w:r w:rsidR="00560B82" w:rsidRPr="00E230AD">
        <w:rPr>
          <w:rFonts w:ascii="Consolas" w:hAnsi="Consolas"/>
          <w:sz w:val="22"/>
          <w:szCs w:val="22"/>
        </w:rPr>
        <w:t xml:space="preserve"> </w:t>
      </w:r>
      <w:r w:rsidR="00F90ED3">
        <w:rPr>
          <w:rFonts w:ascii="Consolas" w:hAnsi="Consolas"/>
          <w:sz w:val="22"/>
          <w:szCs w:val="22"/>
        </w:rPr>
        <w:t>108,248.89</w:t>
      </w:r>
    </w:p>
    <w:p w:rsidR="00447734" w:rsidRPr="00E230AD" w:rsidRDefault="0044773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47734" w:rsidRPr="00E230AD" w:rsidRDefault="0044773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60B82" w:rsidRPr="00E230AD" w:rsidRDefault="00560B82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8129CE" w:rsidRPr="00E230AD" w:rsidRDefault="008129CE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60B82" w:rsidRPr="00E230AD" w:rsidRDefault="00560B82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60B82" w:rsidRPr="00E230AD" w:rsidRDefault="002E54CB" w:rsidP="00560B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3</w:t>
      </w:r>
      <w:r w:rsidR="00091FCE" w:rsidRPr="00E230AD">
        <w:rPr>
          <w:rFonts w:ascii="Consolas" w:hAnsi="Consolas"/>
          <w:b/>
          <w:sz w:val="22"/>
          <w:szCs w:val="22"/>
        </w:rPr>
        <w:t>.2.-</w:t>
      </w:r>
      <w:r w:rsidR="00560B82" w:rsidRPr="00E230AD">
        <w:rPr>
          <w:rFonts w:ascii="Consolas" w:hAnsi="Consolas"/>
          <w:b/>
          <w:sz w:val="22"/>
          <w:szCs w:val="22"/>
        </w:rPr>
        <w:t xml:space="preserve"> Equipo Educacional.</w:t>
      </w:r>
    </w:p>
    <w:p w:rsidR="00560B82" w:rsidRPr="00E230AD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60B82" w:rsidRPr="00E230AD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Al </w:t>
      </w:r>
      <w:r w:rsidR="00B85B24">
        <w:rPr>
          <w:rFonts w:ascii="Consolas" w:hAnsi="Consolas"/>
          <w:sz w:val="22"/>
          <w:szCs w:val="22"/>
        </w:rPr>
        <w:t>3</w:t>
      </w:r>
      <w:r w:rsidR="00F90ED3">
        <w:rPr>
          <w:rFonts w:ascii="Consolas" w:hAnsi="Consolas"/>
          <w:sz w:val="22"/>
          <w:szCs w:val="22"/>
        </w:rPr>
        <w:t>1 de diciembre</w:t>
      </w:r>
      <w:r w:rsidR="004257EB">
        <w:rPr>
          <w:rFonts w:ascii="Consolas" w:hAnsi="Consolas"/>
          <w:sz w:val="22"/>
          <w:szCs w:val="22"/>
        </w:rPr>
        <w:t xml:space="preserve"> de 2020,</w:t>
      </w:r>
      <w:r w:rsidRPr="00E230AD">
        <w:rPr>
          <w:rFonts w:ascii="Consolas" w:hAnsi="Consolas"/>
          <w:sz w:val="22"/>
          <w:szCs w:val="22"/>
        </w:rPr>
        <w:t xml:space="preserve"> se muestran los siguientes saldos que engloban las partidas del equipo de Educacional, con un importe de $ </w:t>
      </w:r>
      <w:r w:rsidR="00210A6A" w:rsidRPr="00210A6A">
        <w:rPr>
          <w:rFonts w:ascii="Consolas" w:hAnsi="Consolas"/>
          <w:sz w:val="22"/>
          <w:szCs w:val="22"/>
        </w:rPr>
        <w:t>232,122.09</w:t>
      </w:r>
    </w:p>
    <w:p w:rsidR="0027495A" w:rsidRPr="00E230AD" w:rsidRDefault="0027495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3D2216" w:rsidRPr="00E230AD" w:rsidRDefault="003D2216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60B82" w:rsidRPr="00E230AD" w:rsidRDefault="002E54CB" w:rsidP="00560B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3</w:t>
      </w:r>
      <w:r w:rsidR="00091FCE" w:rsidRPr="00E230AD">
        <w:rPr>
          <w:rFonts w:ascii="Consolas" w:hAnsi="Consolas"/>
          <w:b/>
          <w:sz w:val="22"/>
          <w:szCs w:val="22"/>
        </w:rPr>
        <w:t>.3.-</w:t>
      </w:r>
      <w:r w:rsidR="00560B82" w:rsidRPr="00E230AD">
        <w:rPr>
          <w:rFonts w:ascii="Consolas" w:hAnsi="Consolas"/>
          <w:b/>
          <w:sz w:val="22"/>
          <w:szCs w:val="22"/>
        </w:rPr>
        <w:t xml:space="preserve"> Vehículos y equipo de transporte.</w:t>
      </w:r>
    </w:p>
    <w:p w:rsidR="00560B82" w:rsidRPr="00E230AD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60B82" w:rsidRPr="00E230AD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Al </w:t>
      </w:r>
      <w:r w:rsidR="00F90ED3">
        <w:rPr>
          <w:rFonts w:ascii="Consolas" w:hAnsi="Consolas"/>
          <w:sz w:val="22"/>
          <w:szCs w:val="22"/>
        </w:rPr>
        <w:t>31 de dic</w:t>
      </w:r>
      <w:r w:rsidR="00535BF3">
        <w:rPr>
          <w:rFonts w:ascii="Consolas" w:hAnsi="Consolas"/>
          <w:sz w:val="22"/>
          <w:szCs w:val="22"/>
        </w:rPr>
        <w:t>iembre</w:t>
      </w:r>
      <w:r w:rsidR="004257EB">
        <w:rPr>
          <w:rFonts w:ascii="Consolas" w:hAnsi="Consolas"/>
          <w:sz w:val="22"/>
          <w:szCs w:val="22"/>
        </w:rPr>
        <w:t xml:space="preserve"> de 2020,</w:t>
      </w:r>
      <w:r w:rsidRPr="00E230AD">
        <w:rPr>
          <w:rFonts w:ascii="Consolas" w:hAnsi="Consolas"/>
          <w:sz w:val="22"/>
          <w:szCs w:val="22"/>
        </w:rPr>
        <w:t xml:space="preserve"> se muestran los siguientes saldos que engloban las partidas de equipo de transporte, con un importe de $ 75,000.00</w:t>
      </w:r>
    </w:p>
    <w:p w:rsidR="00560B82" w:rsidRPr="00E230AD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60B82" w:rsidRPr="00E230AD" w:rsidRDefault="002E54CB" w:rsidP="00560B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3</w:t>
      </w:r>
      <w:r w:rsidR="00560B82" w:rsidRPr="00E230AD">
        <w:rPr>
          <w:rFonts w:ascii="Consolas" w:hAnsi="Consolas"/>
          <w:b/>
          <w:sz w:val="22"/>
          <w:szCs w:val="22"/>
        </w:rPr>
        <w:t>.4.- Maquinaria, otros equipos y herramientas.</w:t>
      </w:r>
    </w:p>
    <w:p w:rsidR="00560B82" w:rsidRPr="00E230AD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60B82" w:rsidRPr="00E230AD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Al </w:t>
      </w:r>
      <w:r w:rsidR="00746F62">
        <w:rPr>
          <w:rFonts w:ascii="Consolas" w:hAnsi="Consolas"/>
          <w:sz w:val="22"/>
          <w:szCs w:val="22"/>
        </w:rPr>
        <w:t>3</w:t>
      </w:r>
      <w:r w:rsidR="00F90ED3">
        <w:rPr>
          <w:rFonts w:ascii="Consolas" w:hAnsi="Consolas"/>
          <w:sz w:val="22"/>
          <w:szCs w:val="22"/>
        </w:rPr>
        <w:t>1 de dic</w:t>
      </w:r>
      <w:r w:rsidR="00535BF3">
        <w:rPr>
          <w:rFonts w:ascii="Consolas" w:hAnsi="Consolas"/>
          <w:sz w:val="22"/>
          <w:szCs w:val="22"/>
        </w:rPr>
        <w:t>iembre</w:t>
      </w:r>
      <w:r w:rsidR="004257EB">
        <w:rPr>
          <w:rFonts w:ascii="Consolas" w:hAnsi="Consolas"/>
          <w:sz w:val="22"/>
          <w:szCs w:val="22"/>
        </w:rPr>
        <w:t xml:space="preserve"> de 2020,</w:t>
      </w:r>
      <w:r w:rsidRPr="00E230AD">
        <w:rPr>
          <w:rFonts w:ascii="Consolas" w:hAnsi="Consolas"/>
          <w:sz w:val="22"/>
          <w:szCs w:val="22"/>
        </w:rPr>
        <w:t xml:space="preserve"> se muestran los siguientes saldos que engloban las partidas de Maquinaria, otros equipos y herramientas compuestas por: Equipo de eventos y Herramientas por un importe de $ </w:t>
      </w:r>
      <w:r w:rsidR="00B2500A">
        <w:rPr>
          <w:rFonts w:ascii="Consolas" w:hAnsi="Consolas"/>
          <w:sz w:val="22"/>
          <w:szCs w:val="22"/>
        </w:rPr>
        <w:t>32,385.34</w:t>
      </w:r>
    </w:p>
    <w:p w:rsidR="009373A2" w:rsidRPr="00E230AD" w:rsidRDefault="009373A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8129CE" w:rsidRPr="00E230AD" w:rsidRDefault="008129CE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8129CE" w:rsidRPr="00E230AD" w:rsidRDefault="002E54C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3.5</w:t>
      </w:r>
      <w:r w:rsidR="008129CE" w:rsidRPr="00E230AD">
        <w:rPr>
          <w:rFonts w:ascii="Consolas" w:hAnsi="Consolas"/>
          <w:b/>
          <w:sz w:val="22"/>
          <w:szCs w:val="22"/>
        </w:rPr>
        <w:t>.- Depreciaciones</w:t>
      </w:r>
    </w:p>
    <w:p w:rsidR="009373A2" w:rsidRPr="00E230AD" w:rsidRDefault="009373A2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8129CE" w:rsidRPr="00E230AD" w:rsidRDefault="001A7F7C" w:rsidP="001F4F3F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Debido a que </w:t>
      </w:r>
      <w:r w:rsidR="00C013D7" w:rsidRPr="00E230AD">
        <w:rPr>
          <w:rFonts w:ascii="Consolas" w:hAnsi="Consolas"/>
          <w:sz w:val="22"/>
          <w:szCs w:val="22"/>
        </w:rPr>
        <w:t xml:space="preserve">a la fecha </w:t>
      </w:r>
      <w:r w:rsidRPr="00E230AD">
        <w:rPr>
          <w:rFonts w:ascii="Consolas" w:hAnsi="Consolas"/>
          <w:sz w:val="22"/>
          <w:szCs w:val="22"/>
        </w:rPr>
        <w:t>el proceso de integración y depuración de los bienes no ha sido con</w:t>
      </w:r>
      <w:r w:rsidR="00C013D7" w:rsidRPr="00E230AD">
        <w:rPr>
          <w:rFonts w:ascii="Consolas" w:hAnsi="Consolas"/>
          <w:sz w:val="22"/>
          <w:szCs w:val="22"/>
        </w:rPr>
        <w:t xml:space="preserve">cluido </w:t>
      </w:r>
      <w:r w:rsidRPr="00E230AD">
        <w:rPr>
          <w:rFonts w:ascii="Consolas" w:hAnsi="Consolas"/>
          <w:sz w:val="22"/>
          <w:szCs w:val="22"/>
        </w:rPr>
        <w:t>no fue posible efectuar el registro contable de las depreciaciones de los mismos.</w:t>
      </w:r>
    </w:p>
    <w:p w:rsidR="008129CE" w:rsidRPr="00E230AD" w:rsidRDefault="008129CE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BF112B" w:rsidRPr="00E230AD" w:rsidRDefault="00BF112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8226FF" w:rsidRPr="00E230AD" w:rsidRDefault="002E54C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 4</w:t>
      </w:r>
      <w:r w:rsidR="00091FCE" w:rsidRPr="00E230AD">
        <w:rPr>
          <w:rFonts w:ascii="Consolas" w:hAnsi="Consolas"/>
          <w:b/>
          <w:sz w:val="22"/>
          <w:szCs w:val="22"/>
        </w:rPr>
        <w:t>.-</w:t>
      </w:r>
      <w:r w:rsidR="001F7D72" w:rsidRPr="00E230AD">
        <w:rPr>
          <w:rFonts w:ascii="Consolas" w:hAnsi="Consolas"/>
          <w:b/>
          <w:sz w:val="22"/>
          <w:szCs w:val="22"/>
        </w:rPr>
        <w:t>PASIVO:</w:t>
      </w:r>
    </w:p>
    <w:p w:rsidR="001F7D72" w:rsidRPr="00E230AD" w:rsidRDefault="001F7D72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AF30AC">
        <w:rPr>
          <w:rFonts w:ascii="Consolas" w:hAnsi="Consolas"/>
          <w:b/>
          <w:sz w:val="22"/>
          <w:szCs w:val="22"/>
        </w:rPr>
        <w:t>CIRCULANTE:</w:t>
      </w:r>
    </w:p>
    <w:p w:rsidR="001F7D72" w:rsidRPr="00E230AD" w:rsidRDefault="001F7D72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1F7D72" w:rsidRPr="00E230AD" w:rsidRDefault="00764406" w:rsidP="00764406">
      <w:pPr>
        <w:jc w:val="both"/>
        <w:rPr>
          <w:rFonts w:ascii="Consolas" w:hAnsi="Consolas" w:cs="Arial"/>
          <w:sz w:val="22"/>
          <w:szCs w:val="22"/>
          <w:lang w:eastAsia="es-MX"/>
        </w:rPr>
      </w:pPr>
      <w:r w:rsidRPr="00E230AD">
        <w:rPr>
          <w:rFonts w:ascii="Consolas" w:hAnsi="Consolas"/>
          <w:sz w:val="22"/>
          <w:szCs w:val="22"/>
        </w:rPr>
        <w:t>Al</w:t>
      </w:r>
      <w:r w:rsidR="000C0072">
        <w:rPr>
          <w:rFonts w:ascii="Consolas" w:hAnsi="Consolas"/>
          <w:sz w:val="22"/>
          <w:szCs w:val="22"/>
        </w:rPr>
        <w:t xml:space="preserve"> 3</w:t>
      </w:r>
      <w:r w:rsidR="00F90ED3">
        <w:rPr>
          <w:rFonts w:ascii="Consolas" w:hAnsi="Consolas"/>
          <w:sz w:val="22"/>
          <w:szCs w:val="22"/>
        </w:rPr>
        <w:t>1 de dic</w:t>
      </w:r>
      <w:r w:rsidR="00535BF3">
        <w:rPr>
          <w:rFonts w:ascii="Consolas" w:hAnsi="Consolas"/>
          <w:sz w:val="22"/>
          <w:szCs w:val="22"/>
        </w:rPr>
        <w:t>iembre</w:t>
      </w:r>
      <w:r w:rsidR="004257EB">
        <w:rPr>
          <w:rFonts w:ascii="Consolas" w:hAnsi="Consolas"/>
          <w:sz w:val="22"/>
          <w:szCs w:val="22"/>
        </w:rPr>
        <w:t xml:space="preserve"> de 2020,</w:t>
      </w:r>
      <w:r w:rsidR="000B47D2" w:rsidRPr="00E230AD">
        <w:rPr>
          <w:rFonts w:ascii="Consolas" w:hAnsi="Consolas"/>
          <w:sz w:val="22"/>
          <w:szCs w:val="22"/>
        </w:rPr>
        <w:t xml:space="preserve"> </w:t>
      </w:r>
      <w:r w:rsidR="00560B82" w:rsidRPr="00E230AD">
        <w:rPr>
          <w:rFonts w:ascii="Consolas" w:hAnsi="Consolas"/>
          <w:sz w:val="22"/>
          <w:szCs w:val="22"/>
        </w:rPr>
        <w:t xml:space="preserve">el Instituto Municipal de Cultura y Arte </w:t>
      </w:r>
      <w:r w:rsidR="000B47D2" w:rsidRPr="00E230AD">
        <w:rPr>
          <w:rFonts w:ascii="Consolas" w:hAnsi="Consolas"/>
          <w:sz w:val="22"/>
          <w:szCs w:val="22"/>
        </w:rPr>
        <w:t>muestra cuentas</w:t>
      </w:r>
      <w:r w:rsidR="001F7D72" w:rsidRPr="00E230AD">
        <w:rPr>
          <w:rFonts w:ascii="Consolas" w:hAnsi="Consolas"/>
          <w:sz w:val="22"/>
          <w:szCs w:val="22"/>
        </w:rPr>
        <w:t xml:space="preserve"> por pagar</w:t>
      </w:r>
      <w:r w:rsidR="000B47D2" w:rsidRPr="00E230AD">
        <w:rPr>
          <w:rFonts w:ascii="Consolas" w:hAnsi="Consolas"/>
          <w:sz w:val="22"/>
          <w:szCs w:val="22"/>
        </w:rPr>
        <w:t xml:space="preserve"> a corto plazo por un importe</w:t>
      </w:r>
      <w:r w:rsidR="001F7D72" w:rsidRPr="00E230AD">
        <w:rPr>
          <w:rFonts w:ascii="Consolas" w:hAnsi="Consolas"/>
          <w:sz w:val="22"/>
          <w:szCs w:val="22"/>
        </w:rPr>
        <w:t xml:space="preserve"> </w:t>
      </w:r>
      <w:r w:rsidRPr="00E230AD">
        <w:rPr>
          <w:rFonts w:ascii="Consolas" w:hAnsi="Consolas"/>
          <w:sz w:val="22"/>
          <w:szCs w:val="22"/>
        </w:rPr>
        <w:t xml:space="preserve">de $ </w:t>
      </w:r>
      <w:r w:rsidR="00F90ED3">
        <w:rPr>
          <w:rFonts w:ascii="Consolas" w:hAnsi="Consolas"/>
          <w:sz w:val="22"/>
          <w:szCs w:val="22"/>
        </w:rPr>
        <w:t>706,819.46</w:t>
      </w:r>
      <w:r w:rsidR="00210A6A" w:rsidRPr="00210A6A">
        <w:rPr>
          <w:rFonts w:ascii="Consolas" w:hAnsi="Consolas" w:cs="Arial"/>
          <w:sz w:val="22"/>
          <w:szCs w:val="22"/>
          <w:lang w:eastAsia="es-MX"/>
        </w:rPr>
        <w:t xml:space="preserve"> </w:t>
      </w:r>
      <w:r w:rsidR="000B47D2" w:rsidRPr="00E230AD">
        <w:rPr>
          <w:rFonts w:ascii="Consolas" w:hAnsi="Consolas"/>
          <w:sz w:val="22"/>
          <w:szCs w:val="22"/>
        </w:rPr>
        <w:t xml:space="preserve"> </w:t>
      </w:r>
      <w:r w:rsidRPr="00E230AD">
        <w:rPr>
          <w:rFonts w:ascii="Consolas" w:hAnsi="Consolas"/>
          <w:sz w:val="22"/>
          <w:szCs w:val="22"/>
        </w:rPr>
        <w:t>integrado</w:t>
      </w:r>
      <w:r w:rsidR="00006BCC" w:rsidRPr="00E230AD">
        <w:rPr>
          <w:rFonts w:ascii="Consolas" w:hAnsi="Consolas"/>
          <w:sz w:val="22"/>
          <w:szCs w:val="22"/>
        </w:rPr>
        <w:t xml:space="preserve"> por</w:t>
      </w:r>
      <w:r w:rsidR="001F7D72" w:rsidRPr="00E230AD">
        <w:rPr>
          <w:rFonts w:ascii="Consolas" w:hAnsi="Consolas"/>
          <w:sz w:val="22"/>
          <w:szCs w:val="22"/>
        </w:rPr>
        <w:t xml:space="preserve"> diferentes conceptos, tales como </w:t>
      </w:r>
      <w:r w:rsidR="006859E7">
        <w:rPr>
          <w:rFonts w:ascii="Consolas" w:hAnsi="Consolas"/>
          <w:sz w:val="22"/>
          <w:szCs w:val="22"/>
        </w:rPr>
        <w:t>Acreedores Diversos</w:t>
      </w:r>
      <w:r w:rsidR="002E54CB" w:rsidRPr="00E230AD">
        <w:rPr>
          <w:rFonts w:ascii="Consolas" w:hAnsi="Consolas"/>
          <w:sz w:val="22"/>
          <w:szCs w:val="22"/>
        </w:rPr>
        <w:t xml:space="preserve"> por pagar a corto plazo (acreedores diversos) y </w:t>
      </w:r>
      <w:r w:rsidR="004132D9" w:rsidRPr="00E230AD">
        <w:rPr>
          <w:rFonts w:ascii="Consolas" w:hAnsi="Consolas"/>
          <w:sz w:val="22"/>
          <w:szCs w:val="22"/>
        </w:rPr>
        <w:t xml:space="preserve">retenciones de impuestos, etc. </w:t>
      </w:r>
    </w:p>
    <w:p w:rsidR="00006BCC" w:rsidRPr="00E230AD" w:rsidRDefault="00006BC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B25F3" w:rsidRPr="00E230AD" w:rsidRDefault="00006BC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Las cuentas que integran las cuentas por pagar </w:t>
      </w:r>
      <w:r w:rsidR="000B47D2" w:rsidRPr="00E230AD">
        <w:rPr>
          <w:rFonts w:ascii="Consolas" w:hAnsi="Consolas"/>
          <w:sz w:val="22"/>
          <w:szCs w:val="22"/>
        </w:rPr>
        <w:t xml:space="preserve">se </w:t>
      </w:r>
      <w:r w:rsidRPr="00E230AD">
        <w:rPr>
          <w:rFonts w:ascii="Consolas" w:hAnsi="Consolas"/>
          <w:sz w:val="22"/>
          <w:szCs w:val="22"/>
        </w:rPr>
        <w:t>detallan a continuación:</w:t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</w:r>
      <w:r w:rsidRPr="00E230AD">
        <w:rPr>
          <w:rFonts w:ascii="Consolas" w:hAnsi="Consolas"/>
          <w:sz w:val="22"/>
          <w:szCs w:val="22"/>
        </w:rPr>
        <w:tab/>
        <w:t xml:space="preserve">      </w:t>
      </w:r>
      <w:r w:rsidR="009F5865" w:rsidRPr="00E230AD">
        <w:rPr>
          <w:rFonts w:ascii="Consolas" w:hAnsi="Consolas"/>
          <w:sz w:val="22"/>
          <w:szCs w:val="22"/>
        </w:rPr>
        <w:tab/>
      </w:r>
    </w:p>
    <w:p w:rsidR="00B2500A" w:rsidRDefault="00B2500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B2500A" w:rsidRDefault="00B2500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>
        <w:rPr>
          <w:rFonts w:ascii="Consolas" w:hAnsi="Consolas"/>
          <w:b/>
          <w:sz w:val="22"/>
          <w:szCs w:val="22"/>
        </w:rPr>
        <w:t>4.1</w:t>
      </w:r>
      <w:r w:rsidR="00441CEC">
        <w:rPr>
          <w:rFonts w:ascii="Consolas" w:hAnsi="Consolas"/>
          <w:b/>
          <w:sz w:val="22"/>
          <w:szCs w:val="22"/>
        </w:rPr>
        <w:t>.-</w:t>
      </w:r>
      <w:r>
        <w:rPr>
          <w:rFonts w:ascii="Consolas" w:hAnsi="Consolas"/>
          <w:b/>
          <w:sz w:val="22"/>
          <w:szCs w:val="22"/>
        </w:rPr>
        <w:t xml:space="preserve"> Servicios Personales por Pagar a Corto Plazo:</w:t>
      </w:r>
    </w:p>
    <w:p w:rsidR="00B2500A" w:rsidRDefault="00B2500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B2500A" w:rsidRDefault="00B2500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Esta cuenta representa el adeudo pendiente por cubrir por servicios personales derivado de la recepción de un trabajo personal subordinado que no fue </w:t>
      </w:r>
      <w:r w:rsidR="00D93A57">
        <w:rPr>
          <w:rFonts w:ascii="Consolas" w:hAnsi="Consolas"/>
          <w:sz w:val="22"/>
          <w:szCs w:val="22"/>
        </w:rPr>
        <w:t>cancelado contablemente</w:t>
      </w:r>
      <w:r>
        <w:rPr>
          <w:rFonts w:ascii="Consolas" w:hAnsi="Consolas"/>
          <w:sz w:val="22"/>
          <w:szCs w:val="22"/>
        </w:rPr>
        <w:t xml:space="preserve"> por un importe de $ </w:t>
      </w:r>
      <w:r w:rsidR="00D93A57">
        <w:rPr>
          <w:rFonts w:ascii="Consolas" w:hAnsi="Consolas"/>
          <w:sz w:val="22"/>
          <w:szCs w:val="22"/>
        </w:rPr>
        <w:t>47,487.16</w:t>
      </w:r>
    </w:p>
    <w:p w:rsidR="00B2500A" w:rsidRDefault="00B2500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B2500A" w:rsidRPr="00441CEC" w:rsidRDefault="00B2500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441CEC">
        <w:rPr>
          <w:rFonts w:ascii="Consolas" w:hAnsi="Consolas"/>
          <w:b/>
          <w:sz w:val="22"/>
          <w:szCs w:val="22"/>
        </w:rPr>
        <w:t>4.2</w:t>
      </w:r>
      <w:r w:rsidR="00441CEC">
        <w:rPr>
          <w:rFonts w:ascii="Consolas" w:hAnsi="Consolas"/>
          <w:b/>
          <w:sz w:val="22"/>
          <w:szCs w:val="22"/>
        </w:rPr>
        <w:t>.-</w:t>
      </w:r>
      <w:r w:rsidRPr="00441CEC">
        <w:rPr>
          <w:rFonts w:ascii="Consolas" w:hAnsi="Consolas"/>
          <w:b/>
          <w:sz w:val="22"/>
          <w:szCs w:val="22"/>
        </w:rPr>
        <w:t xml:space="preserve"> Proveedores</w:t>
      </w:r>
      <w:r w:rsidR="00441CEC">
        <w:rPr>
          <w:rFonts w:ascii="Consolas" w:hAnsi="Consolas"/>
          <w:b/>
          <w:sz w:val="22"/>
          <w:szCs w:val="22"/>
        </w:rPr>
        <w:t>:</w:t>
      </w:r>
      <w:r w:rsidRPr="00441CEC">
        <w:rPr>
          <w:rFonts w:ascii="Consolas" w:hAnsi="Consolas"/>
          <w:b/>
          <w:sz w:val="22"/>
          <w:szCs w:val="22"/>
        </w:rPr>
        <w:t xml:space="preserve"> </w:t>
      </w:r>
    </w:p>
    <w:p w:rsidR="00B2500A" w:rsidRDefault="00B2500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B2500A" w:rsidRDefault="00B2500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Esta cuenta representa todas las operaciones pendientes de pago a proveedores misma que refleja un importe de $ </w:t>
      </w:r>
      <w:r w:rsidR="00283BD2">
        <w:rPr>
          <w:rFonts w:ascii="Consolas" w:hAnsi="Consolas"/>
          <w:sz w:val="22"/>
          <w:szCs w:val="22"/>
        </w:rPr>
        <w:t>1</w:t>
      </w:r>
      <w:r w:rsidR="00573CB5">
        <w:rPr>
          <w:rFonts w:ascii="Consolas" w:hAnsi="Consolas"/>
          <w:sz w:val="22"/>
          <w:szCs w:val="22"/>
        </w:rPr>
        <w:t>13,763.9</w:t>
      </w:r>
      <w:r w:rsidR="00D93A57">
        <w:rPr>
          <w:rFonts w:ascii="Consolas" w:hAnsi="Consolas"/>
          <w:sz w:val="22"/>
          <w:szCs w:val="22"/>
        </w:rPr>
        <w:t>0</w:t>
      </w:r>
    </w:p>
    <w:p w:rsidR="0097393E" w:rsidRDefault="0097393E" w:rsidP="0097393E">
      <w:pPr>
        <w:pStyle w:val="Textopredeterminado"/>
        <w:jc w:val="both"/>
        <w:rPr>
          <w:rFonts w:ascii="Consolas" w:hAnsi="Consolas"/>
          <w:sz w:val="18"/>
          <w:szCs w:val="22"/>
        </w:rPr>
      </w:pPr>
    </w:p>
    <w:p w:rsidR="00441CEC" w:rsidRDefault="00441CEC" w:rsidP="0097393E">
      <w:pPr>
        <w:pStyle w:val="Textopredeterminado"/>
        <w:jc w:val="both"/>
        <w:rPr>
          <w:rFonts w:ascii="Consolas" w:hAnsi="Consolas"/>
          <w:sz w:val="18"/>
          <w:szCs w:val="22"/>
        </w:rPr>
      </w:pPr>
    </w:p>
    <w:p w:rsidR="00441CEC" w:rsidRDefault="00441CEC" w:rsidP="0097393E">
      <w:pPr>
        <w:pStyle w:val="Textopredeterminado"/>
        <w:jc w:val="both"/>
        <w:rPr>
          <w:rFonts w:ascii="Consolas" w:hAnsi="Consolas"/>
          <w:sz w:val="18"/>
          <w:szCs w:val="22"/>
        </w:rPr>
      </w:pPr>
    </w:p>
    <w:p w:rsidR="00441CEC" w:rsidRDefault="00441CEC" w:rsidP="0097393E">
      <w:pPr>
        <w:pStyle w:val="Textopredeterminado"/>
        <w:jc w:val="both"/>
        <w:rPr>
          <w:rFonts w:ascii="Consolas" w:hAnsi="Consolas"/>
          <w:sz w:val="18"/>
          <w:szCs w:val="22"/>
        </w:rPr>
      </w:pPr>
    </w:p>
    <w:p w:rsidR="00441CEC" w:rsidRPr="00E230AD" w:rsidRDefault="00441CEC" w:rsidP="0097393E">
      <w:pPr>
        <w:pStyle w:val="Textopredeterminado"/>
        <w:jc w:val="both"/>
        <w:rPr>
          <w:rFonts w:ascii="Consolas" w:hAnsi="Consolas"/>
          <w:sz w:val="18"/>
          <w:szCs w:val="22"/>
        </w:rPr>
      </w:pPr>
    </w:p>
    <w:p w:rsidR="00825A0C" w:rsidRPr="00E230AD" w:rsidRDefault="002E54C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4</w:t>
      </w:r>
      <w:r w:rsidR="00A210F3" w:rsidRPr="00E230AD">
        <w:rPr>
          <w:rFonts w:ascii="Consolas" w:hAnsi="Consolas"/>
          <w:b/>
          <w:sz w:val="22"/>
          <w:szCs w:val="22"/>
        </w:rPr>
        <w:t>.</w:t>
      </w:r>
      <w:r w:rsidR="00441CEC">
        <w:rPr>
          <w:rFonts w:ascii="Consolas" w:hAnsi="Consolas"/>
          <w:b/>
          <w:sz w:val="22"/>
          <w:szCs w:val="22"/>
        </w:rPr>
        <w:t>3</w:t>
      </w:r>
      <w:r w:rsidR="00091FCE" w:rsidRPr="00E230AD">
        <w:rPr>
          <w:rFonts w:ascii="Consolas" w:hAnsi="Consolas"/>
          <w:b/>
          <w:sz w:val="22"/>
          <w:szCs w:val="22"/>
        </w:rPr>
        <w:t>.-</w:t>
      </w:r>
      <w:r w:rsidR="00825A0C" w:rsidRPr="00316D2A">
        <w:rPr>
          <w:rFonts w:ascii="Consolas" w:hAnsi="Consolas"/>
          <w:b/>
          <w:sz w:val="22"/>
          <w:szCs w:val="22"/>
        </w:rPr>
        <w:t>Retenciones y contribuciones</w:t>
      </w:r>
      <w:r w:rsidR="00825A0C" w:rsidRPr="00E230AD">
        <w:rPr>
          <w:rFonts w:ascii="Consolas" w:hAnsi="Consolas"/>
          <w:b/>
          <w:sz w:val="22"/>
          <w:szCs w:val="22"/>
        </w:rPr>
        <w:t xml:space="preserve"> por pagar a corto plazo:</w:t>
      </w:r>
    </w:p>
    <w:p w:rsidR="00825A0C" w:rsidRPr="00E230AD" w:rsidRDefault="00825A0C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697756" w:rsidRPr="00E230AD" w:rsidRDefault="0069775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Esta cuenta se encuentra integrada por las retenciones </w:t>
      </w:r>
      <w:r w:rsidR="002E54CB" w:rsidRPr="00E230AD">
        <w:rPr>
          <w:rFonts w:ascii="Consolas" w:hAnsi="Consolas"/>
          <w:sz w:val="22"/>
          <w:szCs w:val="22"/>
        </w:rPr>
        <w:t>de sueldos y salarios y en general por el servicio personal subordinado así como de Asimilables a salarios</w:t>
      </w:r>
      <w:r w:rsidR="00E230AD">
        <w:rPr>
          <w:rFonts w:ascii="Consolas" w:hAnsi="Consolas"/>
          <w:sz w:val="22"/>
          <w:szCs w:val="22"/>
        </w:rPr>
        <w:t xml:space="preserve"> y Retenciones por Arrendamiento de Edificios.</w:t>
      </w:r>
      <w:r w:rsidR="004C4DC3" w:rsidRPr="00E230AD">
        <w:rPr>
          <w:rFonts w:ascii="Consolas" w:hAnsi="Consolas"/>
          <w:sz w:val="22"/>
          <w:szCs w:val="22"/>
        </w:rPr>
        <w:t xml:space="preserve"> </w:t>
      </w:r>
      <w:r w:rsidR="00CC3140" w:rsidRPr="00E230AD">
        <w:rPr>
          <w:rFonts w:ascii="Consolas" w:hAnsi="Consolas"/>
          <w:sz w:val="22"/>
          <w:szCs w:val="22"/>
        </w:rPr>
        <w:t xml:space="preserve">Su importe </w:t>
      </w:r>
      <w:r w:rsidR="00BF112B" w:rsidRPr="00E230AD">
        <w:rPr>
          <w:rFonts w:ascii="Consolas" w:hAnsi="Consolas"/>
          <w:sz w:val="22"/>
          <w:szCs w:val="22"/>
        </w:rPr>
        <w:t xml:space="preserve">se representa por un monto de $ </w:t>
      </w:r>
      <w:r w:rsidR="00D93A57">
        <w:rPr>
          <w:rFonts w:ascii="Consolas" w:hAnsi="Consolas"/>
          <w:sz w:val="22"/>
          <w:szCs w:val="22"/>
        </w:rPr>
        <w:t>442,125.10</w:t>
      </w:r>
      <w:r w:rsidR="00210A6A" w:rsidRPr="00210A6A">
        <w:rPr>
          <w:rFonts w:ascii="Consolas" w:hAnsi="Consolas"/>
          <w:sz w:val="22"/>
          <w:szCs w:val="22"/>
        </w:rPr>
        <w:t xml:space="preserve"> </w:t>
      </w:r>
      <w:r w:rsidR="00D0332D" w:rsidRPr="00E230AD">
        <w:rPr>
          <w:rFonts w:ascii="Consolas" w:hAnsi="Consolas"/>
          <w:sz w:val="22"/>
          <w:szCs w:val="22"/>
        </w:rPr>
        <w:t>y se conforma de la siguiente manera:</w:t>
      </w:r>
    </w:p>
    <w:p w:rsidR="002E54CB" w:rsidRPr="00E230AD" w:rsidRDefault="002E54CB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2E54CB" w:rsidRPr="00E230AD" w:rsidRDefault="002E54CB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BF112B" w:rsidRPr="00E230AD" w:rsidRDefault="00BF112B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8188"/>
        <w:gridCol w:w="1843"/>
      </w:tblGrid>
      <w:tr w:rsidR="00BF112B" w:rsidRPr="00E230AD" w:rsidTr="00210A6A">
        <w:tc>
          <w:tcPr>
            <w:tcW w:w="8188" w:type="dxa"/>
          </w:tcPr>
          <w:p w:rsidR="00BF112B" w:rsidRPr="00E230AD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12B" w:rsidRPr="00E230AD" w:rsidRDefault="00A8353F" w:rsidP="00283B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center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  <w:r w:rsidRPr="00E230A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 xml:space="preserve"> </w:t>
            </w:r>
            <w:r w:rsidR="00E230A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3</w:t>
            </w:r>
            <w:r w:rsidR="006775D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1</w:t>
            </w:r>
            <w:r w:rsidR="00757015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 xml:space="preserve"> de </w:t>
            </w:r>
            <w:r w:rsidR="006775D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dici</w:t>
            </w:r>
            <w:r w:rsidR="00573CB5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embre</w:t>
            </w:r>
            <w:r w:rsidRPr="00E230A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 xml:space="preserve"> </w:t>
            </w:r>
            <w:r w:rsidR="00E230A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de</w:t>
            </w:r>
            <w:r w:rsidRPr="00E230A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 xml:space="preserve"> </w:t>
            </w:r>
            <w:r w:rsidR="00DC2AB5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2020</w:t>
            </w:r>
            <w:r w:rsidRPr="00E230A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 xml:space="preserve"> </w:t>
            </w:r>
          </w:p>
        </w:tc>
      </w:tr>
      <w:tr w:rsidR="00BF112B" w:rsidRPr="00E230AD" w:rsidTr="00210A6A">
        <w:tc>
          <w:tcPr>
            <w:tcW w:w="8188" w:type="dxa"/>
          </w:tcPr>
          <w:p w:rsidR="00BF112B" w:rsidRPr="00E230AD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F112B" w:rsidRPr="00E230AD" w:rsidRDefault="00BF112B" w:rsidP="00BD22C1">
            <w:pPr>
              <w:jc w:val="right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</w:tr>
      <w:tr w:rsidR="00BF112B" w:rsidRPr="00E230AD" w:rsidTr="00210A6A">
        <w:tc>
          <w:tcPr>
            <w:tcW w:w="8188" w:type="dxa"/>
          </w:tcPr>
          <w:tbl>
            <w:tblPr>
              <w:tblW w:w="240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3"/>
            </w:tblGrid>
            <w:tr w:rsidR="00316D2A" w:rsidRPr="00E230AD" w:rsidTr="00E230AD">
              <w:trPr>
                <w:trHeight w:val="402"/>
              </w:trPr>
              <w:tc>
                <w:tcPr>
                  <w:tcW w:w="240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316D2A" w:rsidP="00316D2A">
                  <w:pPr>
                    <w:rPr>
                      <w:rFonts w:ascii="Consolas" w:hAnsi="Consolas"/>
                    </w:rPr>
                  </w:pPr>
                  <w:r w:rsidRPr="00316D2A">
                    <w:rPr>
                      <w:rFonts w:ascii="Consolas" w:hAnsi="Consolas"/>
                    </w:rPr>
                    <w:t xml:space="preserve"> I.S.R. RETENIDO POR NOMINA </w:t>
                  </w:r>
                </w:p>
              </w:tc>
            </w:tr>
            <w:tr w:rsidR="00316D2A" w:rsidRPr="00E230AD" w:rsidTr="00E230AD">
              <w:trPr>
                <w:trHeight w:val="402"/>
              </w:trPr>
              <w:tc>
                <w:tcPr>
                  <w:tcW w:w="2403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316D2A" w:rsidP="00316D2A">
                  <w:pPr>
                    <w:rPr>
                      <w:rFonts w:ascii="Consolas" w:hAnsi="Consolas"/>
                    </w:rPr>
                  </w:pPr>
                  <w:r w:rsidRPr="00316D2A">
                    <w:rPr>
                      <w:rFonts w:ascii="Consolas" w:hAnsi="Consolas"/>
                    </w:rPr>
                    <w:t xml:space="preserve"> I.S.R. RETENIDO ASIMILABLES </w:t>
                  </w:r>
                </w:p>
              </w:tc>
            </w:tr>
            <w:tr w:rsidR="00316D2A" w:rsidRPr="00E230AD" w:rsidTr="00E230AD">
              <w:trPr>
                <w:trHeight w:val="402"/>
              </w:trPr>
              <w:tc>
                <w:tcPr>
                  <w:tcW w:w="2403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316D2A" w:rsidP="00316D2A">
                  <w:pPr>
                    <w:rPr>
                      <w:rFonts w:ascii="Consolas" w:hAnsi="Consolas"/>
                    </w:rPr>
                  </w:pPr>
                  <w:r w:rsidRPr="00316D2A">
                    <w:rPr>
                      <w:rFonts w:ascii="Consolas" w:hAnsi="Consolas"/>
                    </w:rPr>
                    <w:t xml:space="preserve"> 10% ISR RETENIDO PERSONAS FI </w:t>
                  </w:r>
                </w:p>
              </w:tc>
            </w:tr>
            <w:tr w:rsidR="00316D2A" w:rsidRPr="00E230AD" w:rsidTr="00E230AD">
              <w:trPr>
                <w:trHeight w:val="402"/>
              </w:trPr>
              <w:tc>
                <w:tcPr>
                  <w:tcW w:w="2403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316D2A" w:rsidP="00316D2A">
                  <w:pPr>
                    <w:rPr>
                      <w:rFonts w:ascii="Consolas" w:hAnsi="Consolas"/>
                    </w:rPr>
                  </w:pPr>
                  <w:r w:rsidRPr="00316D2A">
                    <w:rPr>
                      <w:rFonts w:ascii="Consolas" w:hAnsi="Consolas"/>
                    </w:rPr>
                    <w:t xml:space="preserve"> 4% Retenido Por Flete </w:t>
                  </w:r>
                </w:p>
              </w:tc>
            </w:tr>
            <w:tr w:rsidR="00316D2A" w:rsidRPr="00E230AD" w:rsidTr="00E230AD">
              <w:trPr>
                <w:trHeight w:val="402"/>
              </w:trPr>
              <w:tc>
                <w:tcPr>
                  <w:tcW w:w="2403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316D2A" w:rsidP="00316D2A">
                  <w:pPr>
                    <w:rPr>
                      <w:rFonts w:ascii="Consolas" w:hAnsi="Consolas"/>
                    </w:rPr>
                  </w:pPr>
                  <w:r w:rsidRPr="00316D2A">
                    <w:rPr>
                      <w:rFonts w:ascii="Consolas" w:hAnsi="Consolas"/>
                    </w:rPr>
                    <w:t xml:space="preserve"> 10.6 Retención de Iva </w:t>
                  </w:r>
                </w:p>
              </w:tc>
            </w:tr>
            <w:tr w:rsidR="00316D2A" w:rsidRPr="00E230AD" w:rsidTr="00E230AD">
              <w:trPr>
                <w:trHeight w:val="402"/>
              </w:trPr>
              <w:tc>
                <w:tcPr>
                  <w:tcW w:w="2403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316D2A" w:rsidP="00316D2A">
                  <w:pPr>
                    <w:rPr>
                      <w:rFonts w:ascii="Consolas" w:hAnsi="Consolas"/>
                    </w:rPr>
                  </w:pPr>
                  <w:r w:rsidRPr="00316D2A">
                    <w:rPr>
                      <w:rFonts w:ascii="Consolas" w:hAnsi="Consolas"/>
                    </w:rPr>
                    <w:t xml:space="preserve"> ISSSTESON </w:t>
                  </w:r>
                </w:p>
              </w:tc>
            </w:tr>
          </w:tbl>
          <w:p w:rsidR="00BF112B" w:rsidRPr="00E230AD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</w:tcPr>
          <w:tbl>
            <w:tblPr>
              <w:tblW w:w="16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6"/>
            </w:tblGrid>
            <w:tr w:rsidR="00316D2A" w:rsidRPr="00E230AD" w:rsidTr="00316D2A">
              <w:trPr>
                <w:trHeight w:val="446"/>
              </w:trPr>
              <w:tc>
                <w:tcPr>
                  <w:tcW w:w="16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6775DD" w:rsidP="00316D2A">
                  <w:pPr>
                    <w:jc w:val="right"/>
                    <w:rPr>
                      <w:rFonts w:ascii="Consolas" w:hAnsi="Consolas"/>
                    </w:rPr>
                  </w:pPr>
                  <w:r>
                    <w:rPr>
                      <w:rFonts w:ascii="Consolas" w:hAnsi="Consolas"/>
                    </w:rPr>
                    <w:t>346,000,27</w:t>
                  </w:r>
                  <w:r w:rsidR="00316D2A" w:rsidRPr="00316D2A">
                    <w:rPr>
                      <w:rFonts w:ascii="Consolas" w:hAnsi="Consolas"/>
                    </w:rPr>
                    <w:t xml:space="preserve"> </w:t>
                  </w:r>
                </w:p>
              </w:tc>
            </w:tr>
            <w:tr w:rsidR="00316D2A" w:rsidRPr="00E230AD" w:rsidTr="00316D2A">
              <w:trPr>
                <w:trHeight w:val="446"/>
              </w:trPr>
              <w:tc>
                <w:tcPr>
                  <w:tcW w:w="1636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316D2A" w:rsidP="00316D2A">
                  <w:pPr>
                    <w:jc w:val="right"/>
                    <w:rPr>
                      <w:rFonts w:ascii="Consolas" w:hAnsi="Consolas"/>
                    </w:rPr>
                  </w:pPr>
                  <w:r w:rsidRPr="00316D2A">
                    <w:rPr>
                      <w:rFonts w:ascii="Consolas" w:hAnsi="Consolas"/>
                    </w:rPr>
                    <w:t xml:space="preserve">2,948.40 </w:t>
                  </w:r>
                </w:p>
              </w:tc>
            </w:tr>
            <w:tr w:rsidR="00316D2A" w:rsidRPr="00E230AD" w:rsidTr="00316D2A">
              <w:trPr>
                <w:trHeight w:val="446"/>
              </w:trPr>
              <w:tc>
                <w:tcPr>
                  <w:tcW w:w="1636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6775DD" w:rsidP="00316D2A">
                  <w:pPr>
                    <w:jc w:val="right"/>
                    <w:rPr>
                      <w:rFonts w:ascii="Consolas" w:hAnsi="Consolas"/>
                    </w:rPr>
                  </w:pPr>
                  <w:r>
                    <w:rPr>
                      <w:rFonts w:ascii="Consolas" w:hAnsi="Consolas"/>
                    </w:rPr>
                    <w:t>76,308</w:t>
                  </w:r>
                  <w:r w:rsidR="00757015">
                    <w:rPr>
                      <w:rFonts w:ascii="Consolas" w:hAnsi="Consolas"/>
                    </w:rPr>
                    <w:t>.23</w:t>
                  </w:r>
                  <w:r w:rsidR="00316D2A" w:rsidRPr="00316D2A">
                    <w:rPr>
                      <w:rFonts w:ascii="Consolas" w:hAnsi="Consolas"/>
                    </w:rPr>
                    <w:t xml:space="preserve"> </w:t>
                  </w:r>
                </w:p>
              </w:tc>
            </w:tr>
            <w:tr w:rsidR="00316D2A" w:rsidRPr="00E230AD" w:rsidTr="00316D2A">
              <w:trPr>
                <w:trHeight w:val="446"/>
              </w:trPr>
              <w:tc>
                <w:tcPr>
                  <w:tcW w:w="1636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316D2A" w:rsidP="00316D2A">
                  <w:pPr>
                    <w:jc w:val="right"/>
                    <w:rPr>
                      <w:rFonts w:ascii="Consolas" w:hAnsi="Consolas"/>
                    </w:rPr>
                  </w:pPr>
                  <w:r w:rsidRPr="00316D2A">
                    <w:rPr>
                      <w:rFonts w:ascii="Consolas" w:hAnsi="Consolas"/>
                    </w:rPr>
                    <w:t xml:space="preserve">140.80 </w:t>
                  </w:r>
                </w:p>
              </w:tc>
            </w:tr>
            <w:tr w:rsidR="00316D2A" w:rsidRPr="00E230AD" w:rsidTr="00316D2A">
              <w:trPr>
                <w:trHeight w:val="446"/>
              </w:trPr>
              <w:tc>
                <w:tcPr>
                  <w:tcW w:w="1636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316D2A" w:rsidRPr="00316D2A" w:rsidRDefault="00316D2A" w:rsidP="00316D2A">
                  <w:pPr>
                    <w:jc w:val="right"/>
                    <w:rPr>
                      <w:rFonts w:ascii="Consolas" w:hAnsi="Consolas"/>
                    </w:rPr>
                  </w:pPr>
                  <w:r w:rsidRPr="00316D2A">
                    <w:rPr>
                      <w:rFonts w:ascii="Consolas" w:hAnsi="Consolas"/>
                    </w:rPr>
                    <w:t xml:space="preserve">-4,839.39 </w:t>
                  </w:r>
                </w:p>
              </w:tc>
            </w:tr>
            <w:tr w:rsidR="00316D2A" w:rsidRPr="00E230AD" w:rsidTr="00316D2A">
              <w:trPr>
                <w:trHeight w:val="446"/>
              </w:trPr>
              <w:tc>
                <w:tcPr>
                  <w:tcW w:w="1636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</w:tcPr>
                <w:p w:rsidR="00316D2A" w:rsidRPr="00316D2A" w:rsidRDefault="006775DD" w:rsidP="00283BD2">
                  <w:pPr>
                    <w:jc w:val="right"/>
                    <w:rPr>
                      <w:rFonts w:ascii="Consolas" w:hAnsi="Consolas"/>
                    </w:rPr>
                  </w:pPr>
                  <w:r>
                    <w:rPr>
                      <w:rFonts w:ascii="Consolas" w:hAnsi="Consolas"/>
                    </w:rPr>
                    <w:t>21,566.79</w:t>
                  </w:r>
                  <w:r w:rsidR="00316D2A" w:rsidRPr="00316D2A">
                    <w:rPr>
                      <w:rFonts w:ascii="Consolas" w:hAnsi="Consolas"/>
                    </w:rPr>
                    <w:t xml:space="preserve"> </w:t>
                  </w:r>
                </w:p>
              </w:tc>
            </w:tr>
          </w:tbl>
          <w:p w:rsidR="00BF112B" w:rsidRPr="00E230AD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right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</w:tr>
      <w:tr w:rsidR="00BF112B" w:rsidRPr="00E230AD" w:rsidTr="00210A6A">
        <w:tc>
          <w:tcPr>
            <w:tcW w:w="8188" w:type="dxa"/>
          </w:tcPr>
          <w:p w:rsidR="00BF112B" w:rsidRPr="00E230AD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</w:tcPr>
          <w:p w:rsidR="00BF112B" w:rsidRPr="00E230AD" w:rsidRDefault="00BF112B" w:rsidP="002E54CB">
            <w:pPr>
              <w:jc w:val="right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</w:tr>
      <w:tr w:rsidR="00BF112B" w:rsidRPr="00E230AD" w:rsidTr="00210A6A">
        <w:tc>
          <w:tcPr>
            <w:tcW w:w="8188" w:type="dxa"/>
          </w:tcPr>
          <w:p w:rsidR="00BF112B" w:rsidRPr="00E230AD" w:rsidRDefault="00BD22C1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  <w:r w:rsidRPr="00E230A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Total impuestos retenidos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F112B" w:rsidRDefault="006775DD" w:rsidP="00757015">
            <w:pPr>
              <w:jc w:val="right"/>
              <w:rPr>
                <w:rFonts w:ascii="Consolas" w:hAnsi="Consolas" w:cs="Arial"/>
                <w:spacing w:val="-3"/>
                <w:sz w:val="22"/>
                <w:szCs w:val="22"/>
              </w:rPr>
            </w:pPr>
            <w:r>
              <w:rPr>
                <w:rFonts w:ascii="Consolas" w:hAnsi="Consolas" w:cs="Arial"/>
                <w:spacing w:val="-3"/>
                <w:sz w:val="22"/>
                <w:szCs w:val="22"/>
              </w:rPr>
              <w:t>442,125.10</w:t>
            </w:r>
          </w:p>
          <w:p w:rsidR="00757015" w:rsidRPr="00E230AD" w:rsidRDefault="00757015" w:rsidP="00757015">
            <w:pPr>
              <w:jc w:val="right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</w:tr>
      <w:tr w:rsidR="00BF112B" w:rsidRPr="00E230AD" w:rsidTr="00210A6A">
        <w:tc>
          <w:tcPr>
            <w:tcW w:w="8188" w:type="dxa"/>
          </w:tcPr>
          <w:p w:rsidR="00441CEC" w:rsidRPr="00E230AD" w:rsidRDefault="00441CEC" w:rsidP="00441CEC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 w:rsidRPr="00E230AD">
              <w:rPr>
                <w:rFonts w:ascii="Consolas" w:hAnsi="Consolas"/>
                <w:b/>
                <w:sz w:val="22"/>
                <w:szCs w:val="22"/>
              </w:rPr>
              <w:t>4.</w:t>
            </w:r>
            <w:r>
              <w:rPr>
                <w:rFonts w:ascii="Consolas" w:hAnsi="Consolas"/>
                <w:b/>
                <w:sz w:val="22"/>
                <w:szCs w:val="22"/>
              </w:rPr>
              <w:t>4</w:t>
            </w:r>
            <w:r w:rsidRPr="00E230AD">
              <w:rPr>
                <w:rFonts w:ascii="Consolas" w:hAnsi="Consolas"/>
                <w:b/>
                <w:sz w:val="22"/>
                <w:szCs w:val="22"/>
              </w:rPr>
              <w:t>.-Otras Cuentas por pagar a corto plazo:</w:t>
            </w:r>
          </w:p>
          <w:p w:rsidR="00441CEC" w:rsidRPr="00E230AD" w:rsidRDefault="00441CEC" w:rsidP="00441CEC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</w:p>
          <w:p w:rsidR="00441CEC" w:rsidRPr="00E230AD" w:rsidRDefault="00441CEC" w:rsidP="00441CEC">
            <w:pPr>
              <w:pStyle w:val="Textopredeterminado"/>
              <w:jc w:val="both"/>
              <w:rPr>
                <w:rFonts w:ascii="Consolas" w:hAnsi="Consolas"/>
                <w:sz w:val="16"/>
                <w:szCs w:val="22"/>
              </w:rPr>
            </w:pPr>
            <w:r w:rsidRPr="00E230AD">
              <w:rPr>
                <w:rFonts w:ascii="Consolas" w:hAnsi="Consolas"/>
                <w:sz w:val="22"/>
                <w:szCs w:val="22"/>
              </w:rPr>
              <w:t>Esta cuenta representa el adeudo a acreedores diversos derivados</w:t>
            </w:r>
            <w:r w:rsidR="00210A6A">
              <w:rPr>
                <w:rFonts w:ascii="Consolas" w:hAnsi="Consolas"/>
                <w:sz w:val="22"/>
                <w:szCs w:val="22"/>
              </w:rPr>
              <w:t xml:space="preserve"> </w:t>
            </w:r>
            <w:r w:rsidRPr="00E230AD">
              <w:rPr>
                <w:rFonts w:ascii="Consolas" w:hAnsi="Consolas"/>
                <w:sz w:val="22"/>
                <w:szCs w:val="22"/>
              </w:rPr>
              <w:t>d las operaciones del ente público por un importe de $</w:t>
            </w:r>
            <w:r w:rsidR="00757015">
              <w:rPr>
                <w:rFonts w:ascii="Consolas" w:hAnsi="Consolas"/>
                <w:sz w:val="22"/>
                <w:szCs w:val="22"/>
              </w:rPr>
              <w:t xml:space="preserve"> </w:t>
            </w:r>
            <w:r w:rsidR="006775DD">
              <w:rPr>
                <w:rFonts w:ascii="Consolas" w:hAnsi="Consolas"/>
                <w:sz w:val="22"/>
                <w:szCs w:val="22"/>
              </w:rPr>
              <w:t>103,443</w:t>
            </w:r>
            <w:r w:rsidR="00DC2AB5">
              <w:rPr>
                <w:rFonts w:ascii="Consolas" w:hAnsi="Consolas"/>
                <w:sz w:val="22"/>
                <w:szCs w:val="22"/>
              </w:rPr>
              <w:t>.30</w:t>
            </w:r>
          </w:p>
          <w:p w:rsidR="00BF112B" w:rsidRPr="00E230AD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</w:tcPr>
          <w:p w:rsidR="00BF112B" w:rsidRPr="00E230AD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right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</w:p>
        </w:tc>
      </w:tr>
    </w:tbl>
    <w:p w:rsidR="00BF112B" w:rsidRPr="00E230AD" w:rsidRDefault="00BF112B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D93EC9" w:rsidRPr="00E230AD" w:rsidRDefault="00D93EC9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 xml:space="preserve">NOTA </w:t>
      </w:r>
      <w:r w:rsidR="002E54CB" w:rsidRPr="00E230AD">
        <w:rPr>
          <w:rFonts w:ascii="Consolas" w:hAnsi="Consolas"/>
          <w:b/>
          <w:sz w:val="22"/>
          <w:szCs w:val="22"/>
        </w:rPr>
        <w:t>5</w:t>
      </w:r>
      <w:r w:rsidRPr="00E230AD">
        <w:rPr>
          <w:rFonts w:ascii="Consolas" w:hAnsi="Consolas"/>
          <w:b/>
          <w:sz w:val="22"/>
          <w:szCs w:val="22"/>
        </w:rPr>
        <w:t>.-HACI</w:t>
      </w:r>
      <w:r w:rsidR="00FE2E95" w:rsidRPr="00E230AD">
        <w:rPr>
          <w:rFonts w:ascii="Consolas" w:hAnsi="Consolas"/>
          <w:b/>
          <w:sz w:val="22"/>
          <w:szCs w:val="22"/>
        </w:rPr>
        <w:t>ENDA PUBLICA/PATRIMONIO</w:t>
      </w:r>
      <w:r w:rsidRPr="00E230AD">
        <w:rPr>
          <w:rFonts w:ascii="Consolas" w:hAnsi="Consolas"/>
          <w:b/>
          <w:sz w:val="22"/>
          <w:szCs w:val="22"/>
        </w:rPr>
        <w:t>.</w:t>
      </w:r>
    </w:p>
    <w:p w:rsidR="00D93EC9" w:rsidRPr="00E230AD" w:rsidRDefault="00D93EC9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D93EC9" w:rsidRPr="00E230AD" w:rsidRDefault="00A56A3F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Hacienda Pública/Patrimonio </w:t>
      </w:r>
      <w:r w:rsidR="002E54CB" w:rsidRPr="00E230AD">
        <w:rPr>
          <w:rFonts w:ascii="Consolas" w:hAnsi="Consolas"/>
          <w:sz w:val="22"/>
          <w:szCs w:val="22"/>
        </w:rPr>
        <w:t xml:space="preserve">al </w:t>
      </w:r>
      <w:r w:rsidR="006775DD">
        <w:rPr>
          <w:rFonts w:ascii="Consolas" w:hAnsi="Consolas"/>
          <w:sz w:val="22"/>
          <w:szCs w:val="22"/>
        </w:rPr>
        <w:t>31 de dic</w:t>
      </w:r>
      <w:r w:rsidR="00573CB5">
        <w:rPr>
          <w:rFonts w:ascii="Consolas" w:hAnsi="Consolas"/>
          <w:sz w:val="22"/>
          <w:szCs w:val="22"/>
        </w:rPr>
        <w:t>iembre</w:t>
      </w:r>
      <w:r w:rsidR="00DC2AB5">
        <w:rPr>
          <w:rFonts w:ascii="Consolas" w:hAnsi="Consolas"/>
          <w:sz w:val="22"/>
          <w:szCs w:val="22"/>
        </w:rPr>
        <w:t xml:space="preserve"> de 2020</w:t>
      </w:r>
      <w:r w:rsidR="00D93EC9" w:rsidRPr="00E230AD">
        <w:rPr>
          <w:rFonts w:ascii="Consolas" w:hAnsi="Consolas"/>
          <w:sz w:val="22"/>
          <w:szCs w:val="22"/>
        </w:rPr>
        <w:t xml:space="preserve"> </w:t>
      </w:r>
      <w:r w:rsidR="005E10C2" w:rsidRPr="00E230AD">
        <w:rPr>
          <w:rFonts w:ascii="Consolas" w:hAnsi="Consolas"/>
          <w:sz w:val="22"/>
          <w:szCs w:val="22"/>
        </w:rPr>
        <w:t>muestra</w:t>
      </w:r>
      <w:r w:rsidR="00C24F48" w:rsidRPr="00E230AD">
        <w:rPr>
          <w:rFonts w:ascii="Consolas" w:hAnsi="Consolas"/>
          <w:sz w:val="22"/>
          <w:szCs w:val="22"/>
        </w:rPr>
        <w:t xml:space="preserve"> </w:t>
      </w:r>
      <w:r w:rsidR="005E10C2" w:rsidRPr="00E230AD">
        <w:rPr>
          <w:rFonts w:ascii="Consolas" w:hAnsi="Consolas"/>
          <w:sz w:val="22"/>
          <w:szCs w:val="22"/>
        </w:rPr>
        <w:t xml:space="preserve">saldo de </w:t>
      </w:r>
      <w:r w:rsidR="00B82EC8" w:rsidRPr="00E230AD">
        <w:rPr>
          <w:rFonts w:ascii="Consolas" w:hAnsi="Consolas"/>
          <w:sz w:val="22"/>
          <w:szCs w:val="22"/>
        </w:rPr>
        <w:t xml:space="preserve">$ </w:t>
      </w:r>
      <w:r w:rsidR="00BE1D7E">
        <w:rPr>
          <w:rFonts w:ascii="Consolas" w:hAnsi="Consolas"/>
          <w:sz w:val="22"/>
          <w:szCs w:val="22"/>
        </w:rPr>
        <w:t xml:space="preserve">  </w:t>
      </w:r>
      <w:r w:rsidR="006775DD">
        <w:rPr>
          <w:rFonts w:ascii="Consolas" w:hAnsi="Consolas"/>
          <w:sz w:val="22"/>
          <w:szCs w:val="22"/>
        </w:rPr>
        <w:t>6</w:t>
      </w:r>
      <w:r w:rsidR="00573CB5">
        <w:rPr>
          <w:rFonts w:ascii="Consolas" w:hAnsi="Consolas"/>
          <w:sz w:val="22"/>
          <w:szCs w:val="22"/>
        </w:rPr>
        <w:t>57,</w:t>
      </w:r>
      <w:r w:rsidR="006775DD">
        <w:rPr>
          <w:rFonts w:ascii="Consolas" w:hAnsi="Consolas"/>
          <w:sz w:val="22"/>
          <w:szCs w:val="22"/>
        </w:rPr>
        <w:t>921.19</w:t>
      </w:r>
      <w:r w:rsidR="00077595">
        <w:rPr>
          <w:rFonts w:ascii="Consolas" w:hAnsi="Consolas"/>
          <w:sz w:val="22"/>
          <w:szCs w:val="22"/>
        </w:rPr>
        <w:t xml:space="preserve"> </w:t>
      </w:r>
      <w:r w:rsidR="00B82EC8" w:rsidRPr="00E230AD">
        <w:rPr>
          <w:rFonts w:ascii="Consolas" w:hAnsi="Consolas"/>
          <w:sz w:val="22"/>
          <w:szCs w:val="22"/>
        </w:rPr>
        <w:t xml:space="preserve">constituido por </w:t>
      </w:r>
      <w:r w:rsidRPr="00E230AD">
        <w:rPr>
          <w:rFonts w:ascii="Consolas" w:hAnsi="Consolas"/>
          <w:sz w:val="22"/>
          <w:szCs w:val="22"/>
        </w:rPr>
        <w:t xml:space="preserve">las </w:t>
      </w:r>
      <w:r w:rsidR="0043458F" w:rsidRPr="00E230AD">
        <w:rPr>
          <w:rFonts w:ascii="Consolas" w:hAnsi="Consolas"/>
          <w:sz w:val="22"/>
          <w:szCs w:val="22"/>
        </w:rPr>
        <w:t>Aportaciones</w:t>
      </w:r>
      <w:r w:rsidRPr="00E230AD">
        <w:rPr>
          <w:rFonts w:ascii="Consolas" w:hAnsi="Consolas"/>
          <w:sz w:val="22"/>
          <w:szCs w:val="22"/>
        </w:rPr>
        <w:t xml:space="preserve">, </w:t>
      </w:r>
      <w:r w:rsidR="00F64989" w:rsidRPr="00E230AD">
        <w:rPr>
          <w:rFonts w:ascii="Consolas" w:hAnsi="Consolas"/>
          <w:sz w:val="22"/>
          <w:szCs w:val="22"/>
        </w:rPr>
        <w:t xml:space="preserve">el </w:t>
      </w:r>
      <w:r w:rsidR="0043458F" w:rsidRPr="00E230AD">
        <w:rPr>
          <w:rFonts w:ascii="Consolas" w:hAnsi="Consolas"/>
          <w:sz w:val="22"/>
          <w:szCs w:val="22"/>
        </w:rPr>
        <w:t>des</w:t>
      </w:r>
      <w:r w:rsidR="00F64989" w:rsidRPr="00E230AD">
        <w:rPr>
          <w:rFonts w:ascii="Consolas" w:hAnsi="Consolas"/>
          <w:sz w:val="22"/>
          <w:szCs w:val="22"/>
        </w:rPr>
        <w:t>ahorro</w:t>
      </w:r>
      <w:r w:rsidRPr="00E230AD">
        <w:rPr>
          <w:rFonts w:ascii="Consolas" w:hAnsi="Consolas"/>
          <w:sz w:val="22"/>
          <w:szCs w:val="22"/>
        </w:rPr>
        <w:t xml:space="preserve"> (</w:t>
      </w:r>
      <w:r w:rsidR="0043458F" w:rsidRPr="00E230AD">
        <w:rPr>
          <w:rFonts w:ascii="Consolas" w:hAnsi="Consolas"/>
          <w:sz w:val="22"/>
          <w:szCs w:val="22"/>
        </w:rPr>
        <w:t>pérdida</w:t>
      </w:r>
      <w:r w:rsidR="00D93EC9" w:rsidRPr="00E230AD">
        <w:rPr>
          <w:rFonts w:ascii="Consolas" w:hAnsi="Consolas"/>
          <w:sz w:val="22"/>
          <w:szCs w:val="22"/>
        </w:rPr>
        <w:t xml:space="preserve">) obtenido en el ejercicio </w:t>
      </w:r>
      <w:r w:rsidR="00441552">
        <w:rPr>
          <w:rFonts w:ascii="Consolas" w:hAnsi="Consolas"/>
          <w:sz w:val="22"/>
          <w:szCs w:val="22"/>
        </w:rPr>
        <w:t>20</w:t>
      </w:r>
      <w:r w:rsidR="00DC2AB5">
        <w:rPr>
          <w:rFonts w:ascii="Consolas" w:hAnsi="Consolas"/>
          <w:sz w:val="22"/>
          <w:szCs w:val="22"/>
        </w:rPr>
        <w:t>20</w:t>
      </w:r>
      <w:r w:rsidR="00D93EC9" w:rsidRPr="00E230AD">
        <w:rPr>
          <w:rFonts w:ascii="Consolas" w:hAnsi="Consolas"/>
          <w:sz w:val="22"/>
          <w:szCs w:val="22"/>
        </w:rPr>
        <w:t xml:space="preserve">, </w:t>
      </w:r>
      <w:r w:rsidR="00FE2E95" w:rsidRPr="00E230AD">
        <w:rPr>
          <w:rFonts w:ascii="Consolas" w:hAnsi="Consolas"/>
          <w:sz w:val="22"/>
          <w:szCs w:val="22"/>
        </w:rPr>
        <w:t>más</w:t>
      </w:r>
      <w:r w:rsidR="00D93EC9" w:rsidRPr="00E230AD">
        <w:rPr>
          <w:rFonts w:ascii="Consolas" w:hAnsi="Consolas"/>
          <w:sz w:val="22"/>
          <w:szCs w:val="22"/>
        </w:rPr>
        <w:t xml:space="preserve"> la suma de los resultados de ejercicios anteriores </w:t>
      </w:r>
      <w:r w:rsidR="00B82EC8" w:rsidRPr="00E230AD">
        <w:rPr>
          <w:rFonts w:ascii="Consolas" w:hAnsi="Consolas"/>
          <w:sz w:val="22"/>
          <w:szCs w:val="22"/>
        </w:rPr>
        <w:t>como se muestra en el siguiente cuadro</w:t>
      </w:r>
      <w:r w:rsidR="00D93EC9" w:rsidRPr="00E230AD">
        <w:rPr>
          <w:rFonts w:ascii="Consolas" w:hAnsi="Consolas"/>
          <w:sz w:val="22"/>
          <w:szCs w:val="22"/>
        </w:rPr>
        <w:t>:</w:t>
      </w:r>
    </w:p>
    <w:p w:rsidR="00D93EC9" w:rsidRPr="00E230AD" w:rsidRDefault="00D93EC9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B916BE" w:rsidRPr="00E230AD" w:rsidTr="00A56A3F">
        <w:tc>
          <w:tcPr>
            <w:tcW w:w="6521" w:type="dxa"/>
          </w:tcPr>
          <w:p w:rsidR="00B916BE" w:rsidRPr="00E230AD" w:rsidRDefault="00B916BE" w:rsidP="000C5782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</w:p>
        </w:tc>
        <w:tc>
          <w:tcPr>
            <w:tcW w:w="2693" w:type="dxa"/>
          </w:tcPr>
          <w:p w:rsidR="00B916BE" w:rsidRPr="00E230AD" w:rsidRDefault="00283BD2" w:rsidP="00283BD2">
            <w:pPr>
              <w:pStyle w:val="Textopredeterminado"/>
              <w:jc w:val="both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b/>
                <w:sz w:val="22"/>
                <w:szCs w:val="22"/>
                <w:u w:val="single"/>
              </w:rPr>
              <w:t>3</w:t>
            </w:r>
            <w:r w:rsidR="006775DD">
              <w:rPr>
                <w:rFonts w:ascii="Consolas" w:hAnsi="Consolas"/>
                <w:b/>
                <w:sz w:val="22"/>
                <w:szCs w:val="22"/>
                <w:u w:val="single"/>
              </w:rPr>
              <w:t>1 diciembre</w:t>
            </w:r>
            <w:r w:rsidR="00DC2AB5">
              <w:rPr>
                <w:rFonts w:ascii="Consolas" w:hAnsi="Consolas"/>
                <w:b/>
                <w:sz w:val="22"/>
                <w:szCs w:val="22"/>
                <w:u w:val="single"/>
              </w:rPr>
              <w:t xml:space="preserve"> de 2020</w:t>
            </w:r>
          </w:p>
        </w:tc>
      </w:tr>
      <w:tr w:rsidR="00A56A3F" w:rsidRPr="00E230AD" w:rsidTr="00A56A3F">
        <w:tc>
          <w:tcPr>
            <w:tcW w:w="6521" w:type="dxa"/>
          </w:tcPr>
          <w:p w:rsidR="00A56A3F" w:rsidRPr="00E230AD" w:rsidRDefault="00441CEC" w:rsidP="000C5782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>
              <w:rPr>
                <w:rFonts w:ascii="Consolas" w:hAnsi="Consolas"/>
                <w:sz w:val="22"/>
                <w:szCs w:val="22"/>
              </w:rPr>
              <w:t>Actualización de la Hacienda Pública</w:t>
            </w:r>
            <w:r w:rsidR="005E10C2" w:rsidRPr="00E230AD">
              <w:rPr>
                <w:rFonts w:ascii="Consolas" w:hAnsi="Consolas"/>
                <w:sz w:val="22"/>
                <w:szCs w:val="22"/>
              </w:rPr>
              <w:t xml:space="preserve"> (Patrimonio)</w:t>
            </w:r>
          </w:p>
        </w:tc>
        <w:tc>
          <w:tcPr>
            <w:tcW w:w="2693" w:type="dxa"/>
          </w:tcPr>
          <w:p w:rsidR="00A56A3F" w:rsidRPr="00E230AD" w:rsidRDefault="00EE1650" w:rsidP="005B139A">
            <w:pPr>
              <w:pStyle w:val="Textopredeterminado"/>
              <w:jc w:val="right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sz w:val="20"/>
              </w:rPr>
              <w:t>123,468.64</w:t>
            </w:r>
          </w:p>
        </w:tc>
      </w:tr>
      <w:tr w:rsidR="00D93EC9" w:rsidRPr="00E230AD" w:rsidTr="00A56A3F">
        <w:tc>
          <w:tcPr>
            <w:tcW w:w="6521" w:type="dxa"/>
          </w:tcPr>
          <w:p w:rsidR="00D93EC9" w:rsidRPr="00E230AD" w:rsidRDefault="00D93EC9" w:rsidP="0043458F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E230AD">
              <w:rPr>
                <w:rFonts w:ascii="Consolas" w:hAnsi="Consolas"/>
                <w:sz w:val="22"/>
                <w:szCs w:val="22"/>
              </w:rPr>
              <w:t>Resultado del ejercicio (</w:t>
            </w:r>
            <w:r w:rsidR="0043458F" w:rsidRPr="00E230AD">
              <w:rPr>
                <w:rFonts w:ascii="Consolas" w:hAnsi="Consolas"/>
                <w:sz w:val="22"/>
                <w:szCs w:val="22"/>
              </w:rPr>
              <w:t>ahorro</w:t>
            </w:r>
            <w:r w:rsidRPr="00E230AD">
              <w:rPr>
                <w:rFonts w:ascii="Consolas" w:hAnsi="Consolas"/>
                <w:sz w:val="22"/>
                <w:szCs w:val="22"/>
              </w:rPr>
              <w:t xml:space="preserve"> )</w:t>
            </w:r>
          </w:p>
        </w:tc>
        <w:tc>
          <w:tcPr>
            <w:tcW w:w="2693" w:type="dxa"/>
          </w:tcPr>
          <w:p w:rsidR="00D93EC9" w:rsidRPr="00DC2AB5" w:rsidRDefault="00D93EC9" w:rsidP="00EC3FFC">
            <w:pPr>
              <w:pStyle w:val="Textopredeterminado"/>
              <w:ind w:left="720"/>
              <w:jc w:val="right"/>
              <w:rPr>
                <w:rFonts w:ascii="Consolas" w:hAnsi="Consolas"/>
                <w:sz w:val="20"/>
              </w:rPr>
            </w:pPr>
          </w:p>
        </w:tc>
      </w:tr>
      <w:tr w:rsidR="00D93EC9" w:rsidRPr="00E230AD" w:rsidTr="00A56A3F">
        <w:tc>
          <w:tcPr>
            <w:tcW w:w="6521" w:type="dxa"/>
          </w:tcPr>
          <w:p w:rsidR="00D93EC9" w:rsidRPr="00E230AD" w:rsidRDefault="00CC48CE" w:rsidP="000C5782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E230AD">
              <w:rPr>
                <w:rFonts w:ascii="Consolas" w:hAnsi="Consolas"/>
                <w:sz w:val="22"/>
                <w:szCs w:val="22"/>
              </w:rPr>
              <w:t>Resultados de ejercicios anteriores</w:t>
            </w:r>
          </w:p>
        </w:tc>
        <w:tc>
          <w:tcPr>
            <w:tcW w:w="2693" w:type="dxa"/>
          </w:tcPr>
          <w:p w:rsidR="004307BA" w:rsidRPr="00E230AD" w:rsidRDefault="006775DD" w:rsidP="004307BA">
            <w:pPr>
              <w:pStyle w:val="Textopredeterminado"/>
              <w:jc w:val="right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sz w:val="20"/>
              </w:rPr>
              <w:t>534,452.55</w:t>
            </w:r>
          </w:p>
        </w:tc>
      </w:tr>
      <w:tr w:rsidR="00D93EC9" w:rsidRPr="00E230AD" w:rsidTr="00A56A3F">
        <w:tc>
          <w:tcPr>
            <w:tcW w:w="6521" w:type="dxa"/>
          </w:tcPr>
          <w:p w:rsidR="00D93EC9" w:rsidRPr="00E230AD" w:rsidRDefault="00CC48CE" w:rsidP="000C5782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 w:rsidRPr="00E230AD">
              <w:rPr>
                <w:rFonts w:ascii="Consolas" w:hAnsi="Consolas"/>
                <w:b/>
                <w:sz w:val="22"/>
                <w:szCs w:val="22"/>
              </w:rPr>
              <w:t xml:space="preserve">     Total </w:t>
            </w:r>
            <w:r w:rsidR="00A56A3F" w:rsidRPr="00E230AD">
              <w:rPr>
                <w:rFonts w:ascii="Consolas" w:hAnsi="Consolas"/>
                <w:b/>
                <w:sz w:val="22"/>
                <w:szCs w:val="22"/>
              </w:rPr>
              <w:t>Hacienda Pública/patrimonio</w:t>
            </w:r>
            <w:r w:rsidRPr="00E230AD">
              <w:rPr>
                <w:rFonts w:ascii="Consolas" w:hAnsi="Consolas"/>
                <w:b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2693" w:type="dxa"/>
          </w:tcPr>
          <w:p w:rsidR="00D93EC9" w:rsidRPr="00EC3FFC" w:rsidRDefault="00A56A3F" w:rsidP="00EC3FFC">
            <w:pPr>
              <w:pStyle w:val="Textopredeterminado"/>
              <w:jc w:val="right"/>
              <w:rPr>
                <w:rFonts w:ascii="Consolas" w:hAnsi="Consolas"/>
                <w:b/>
                <w:sz w:val="20"/>
              </w:rPr>
            </w:pPr>
            <w:r w:rsidRPr="00EC3FFC">
              <w:rPr>
                <w:rFonts w:ascii="Consolas" w:hAnsi="Consolas"/>
                <w:b/>
                <w:sz w:val="20"/>
              </w:rPr>
              <w:t xml:space="preserve">$ </w:t>
            </w:r>
            <w:r w:rsidR="00077595">
              <w:rPr>
                <w:rFonts w:ascii="Consolas" w:hAnsi="Consolas"/>
                <w:b/>
                <w:sz w:val="20"/>
              </w:rPr>
              <w:t>657,921.19</w:t>
            </w:r>
          </w:p>
        </w:tc>
      </w:tr>
    </w:tbl>
    <w:p w:rsidR="001A7F7C" w:rsidRPr="00E230AD" w:rsidRDefault="001A7F7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56A3F" w:rsidRDefault="00A56A3F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41CEC" w:rsidRDefault="00441C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41CEC" w:rsidRDefault="00441C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41CEC" w:rsidRDefault="00441C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41CEC" w:rsidRDefault="00441C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757015" w:rsidRPr="00E230AD" w:rsidRDefault="00757015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47734" w:rsidRPr="00E230AD" w:rsidRDefault="00447734" w:rsidP="0004529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NOTAS AL ESTADO DE ACTIVIDADES</w:t>
      </w:r>
    </w:p>
    <w:p w:rsidR="00447734" w:rsidRPr="00E230AD" w:rsidRDefault="0044773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47734" w:rsidRPr="00E230AD" w:rsidRDefault="0044773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INGRESOS DE GESTION:</w:t>
      </w:r>
    </w:p>
    <w:p w:rsidR="009506FA" w:rsidRPr="00E230AD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506FA" w:rsidRPr="00E230AD" w:rsidRDefault="00091FCE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633B72">
        <w:rPr>
          <w:rFonts w:ascii="Consolas" w:hAnsi="Consolas"/>
          <w:b/>
          <w:sz w:val="22"/>
          <w:szCs w:val="22"/>
        </w:rPr>
        <w:t xml:space="preserve">NOTA </w:t>
      </w:r>
      <w:r w:rsidR="005E10C2" w:rsidRPr="00633B72">
        <w:rPr>
          <w:rFonts w:ascii="Consolas" w:hAnsi="Consolas"/>
          <w:b/>
          <w:sz w:val="22"/>
          <w:szCs w:val="22"/>
        </w:rPr>
        <w:t>6</w:t>
      </w:r>
      <w:r w:rsidR="00CC48CE" w:rsidRPr="00633B72">
        <w:rPr>
          <w:rFonts w:ascii="Consolas" w:hAnsi="Consolas"/>
          <w:b/>
          <w:sz w:val="22"/>
          <w:szCs w:val="22"/>
        </w:rPr>
        <w:t>.</w:t>
      </w:r>
      <w:r w:rsidRPr="00633B72">
        <w:rPr>
          <w:rFonts w:ascii="Consolas" w:hAnsi="Consolas"/>
          <w:b/>
          <w:sz w:val="22"/>
          <w:szCs w:val="22"/>
        </w:rPr>
        <w:t>-</w:t>
      </w:r>
      <w:r w:rsidR="00B04B80" w:rsidRPr="00633B72">
        <w:rPr>
          <w:rFonts w:ascii="Consolas" w:hAnsi="Consolas"/>
          <w:b/>
          <w:sz w:val="22"/>
          <w:szCs w:val="22"/>
        </w:rPr>
        <w:t>INGRESOS Y OTROS</w:t>
      </w:r>
      <w:r w:rsidR="00B04B80" w:rsidRPr="00E230AD">
        <w:rPr>
          <w:rFonts w:ascii="Consolas" w:hAnsi="Consolas"/>
          <w:b/>
          <w:sz w:val="22"/>
          <w:szCs w:val="22"/>
        </w:rPr>
        <w:t xml:space="preserve"> BENEFICIOS</w:t>
      </w:r>
      <w:r w:rsidR="009506FA" w:rsidRPr="00E230AD">
        <w:rPr>
          <w:rFonts w:ascii="Consolas" w:hAnsi="Consolas"/>
          <w:b/>
          <w:sz w:val="22"/>
          <w:szCs w:val="22"/>
        </w:rPr>
        <w:t>:</w:t>
      </w:r>
    </w:p>
    <w:p w:rsidR="00447734" w:rsidRPr="00E230AD" w:rsidRDefault="0044773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506FA" w:rsidRPr="00E230AD" w:rsidRDefault="0044773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Los ingresos generados por el </w:t>
      </w:r>
      <w:r w:rsidR="005E10C2" w:rsidRPr="00E230AD">
        <w:rPr>
          <w:rFonts w:ascii="Consolas" w:hAnsi="Consolas"/>
          <w:sz w:val="22"/>
          <w:szCs w:val="22"/>
        </w:rPr>
        <w:t>Instituto Municipal de Cultura y Arte</w:t>
      </w:r>
      <w:r w:rsidR="00633B72">
        <w:rPr>
          <w:rFonts w:ascii="Consolas" w:hAnsi="Consolas"/>
          <w:sz w:val="22"/>
          <w:szCs w:val="22"/>
        </w:rPr>
        <w:t>, durante el periodo de e</w:t>
      </w:r>
      <w:r w:rsidR="00F61938" w:rsidRPr="00E230AD">
        <w:rPr>
          <w:rFonts w:ascii="Consolas" w:hAnsi="Consolas"/>
          <w:sz w:val="22"/>
          <w:szCs w:val="22"/>
        </w:rPr>
        <w:t xml:space="preserve">nero a </w:t>
      </w:r>
      <w:r w:rsidR="00077595">
        <w:rPr>
          <w:rFonts w:ascii="Consolas" w:hAnsi="Consolas"/>
          <w:sz w:val="22"/>
          <w:szCs w:val="22"/>
        </w:rPr>
        <w:t>diciembre</w:t>
      </w:r>
      <w:r w:rsidR="00DC2AB5">
        <w:rPr>
          <w:rFonts w:ascii="Consolas" w:hAnsi="Consolas"/>
          <w:sz w:val="22"/>
          <w:szCs w:val="22"/>
        </w:rPr>
        <w:t xml:space="preserve"> de 2020</w:t>
      </w:r>
      <w:r w:rsidR="009506FA" w:rsidRPr="00E230AD">
        <w:rPr>
          <w:rFonts w:ascii="Consolas" w:hAnsi="Consolas"/>
          <w:sz w:val="22"/>
          <w:szCs w:val="22"/>
        </w:rPr>
        <w:t xml:space="preserve">, se derivan del cobro de los </w:t>
      </w:r>
      <w:r w:rsidR="000619A3" w:rsidRPr="00E230AD">
        <w:rPr>
          <w:rFonts w:ascii="Consolas" w:hAnsi="Consolas"/>
          <w:sz w:val="22"/>
          <w:szCs w:val="22"/>
        </w:rPr>
        <w:t>Ingresos por Cuotas, Eventos y Donativos así como</w:t>
      </w:r>
      <w:r w:rsidR="009506FA" w:rsidRPr="00E230AD">
        <w:rPr>
          <w:rFonts w:ascii="Consolas" w:hAnsi="Consolas"/>
          <w:sz w:val="22"/>
          <w:szCs w:val="22"/>
        </w:rPr>
        <w:t>, transferencias, asignaciones</w:t>
      </w:r>
      <w:r w:rsidR="004B0EBA" w:rsidRPr="00E230AD">
        <w:rPr>
          <w:rFonts w:ascii="Consolas" w:hAnsi="Consolas"/>
          <w:sz w:val="22"/>
          <w:szCs w:val="22"/>
        </w:rPr>
        <w:t>, subsidios y otras ayudas,</w:t>
      </w:r>
      <w:r w:rsidR="009506FA" w:rsidRPr="00E230AD">
        <w:rPr>
          <w:rFonts w:ascii="Consolas" w:hAnsi="Consolas"/>
          <w:sz w:val="22"/>
          <w:szCs w:val="22"/>
        </w:rPr>
        <w:t xml:space="preserve"> etc.</w:t>
      </w:r>
    </w:p>
    <w:p w:rsidR="009506FA" w:rsidRPr="00E230AD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506FA" w:rsidRPr="00E230AD" w:rsidRDefault="00F61938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Durante el periodo en mención </w:t>
      </w:r>
      <w:r w:rsidR="009506FA" w:rsidRPr="00E230AD">
        <w:rPr>
          <w:rFonts w:ascii="Consolas" w:hAnsi="Consolas"/>
          <w:sz w:val="22"/>
          <w:szCs w:val="22"/>
        </w:rPr>
        <w:t>la entidad obtuvo los siguientes ingresos:</w:t>
      </w:r>
    </w:p>
    <w:p w:rsidR="007751C1" w:rsidRPr="00E230AD" w:rsidRDefault="007751C1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7751C1" w:rsidRPr="00E230AD" w:rsidRDefault="007751C1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5871"/>
        <w:gridCol w:w="1779"/>
        <w:gridCol w:w="821"/>
      </w:tblGrid>
      <w:tr w:rsidR="004B0EBA" w:rsidRPr="00E230AD" w:rsidTr="000619A3">
        <w:trPr>
          <w:trHeight w:val="255"/>
        </w:trPr>
        <w:tc>
          <w:tcPr>
            <w:tcW w:w="66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val="es-ES" w:eastAsia="es-MX"/>
              </w:rPr>
              <w:t>I N G R E S O S: 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eastAsia="es-MX"/>
              </w:rPr>
              <w:t>Ingreso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eastAsia="es-MX"/>
              </w:rPr>
              <w:t> </w:t>
            </w:r>
          </w:p>
        </w:tc>
      </w:tr>
      <w:tr w:rsidR="004B0EBA" w:rsidRPr="00E230AD" w:rsidTr="000619A3">
        <w:trPr>
          <w:trHeight w:val="255"/>
        </w:trPr>
        <w:tc>
          <w:tcPr>
            <w:tcW w:w="66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b/>
                <w:bCs/>
                <w:lang w:eastAsia="es-MX"/>
              </w:rPr>
            </w:pPr>
          </w:p>
        </w:tc>
        <w:tc>
          <w:tcPr>
            <w:tcW w:w="17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b/>
                <w:bCs/>
                <w:lang w:eastAsia="es-MX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eastAsia="es-MX"/>
              </w:rPr>
              <w:t>%</w:t>
            </w:r>
          </w:p>
        </w:tc>
      </w:tr>
      <w:tr w:rsidR="004B0EBA" w:rsidRPr="00E230AD" w:rsidTr="000619A3">
        <w:trPr>
          <w:trHeight w:val="30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b/>
                <w:bCs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sz w:val="22"/>
                <w:szCs w:val="22"/>
                <w:lang w:val="es-ES" w:eastAsia="es-MX"/>
              </w:rPr>
              <w:t>Clave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val="es-ES" w:eastAsia="es-MX"/>
              </w:rPr>
              <w:t>Capítulo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eastAsia="es-MX"/>
              </w:rPr>
              <w:t>Captado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eastAsia="es-MX"/>
              </w:rPr>
              <w:t> </w:t>
            </w:r>
          </w:p>
        </w:tc>
      </w:tr>
      <w:tr w:rsidR="004B0EBA" w:rsidRPr="00E230AD" w:rsidTr="000619A3">
        <w:trPr>
          <w:trHeight w:val="27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B0EBA" w:rsidRPr="00E230AD" w:rsidRDefault="004B0EBA" w:rsidP="004B0EBA">
            <w:pPr>
              <w:rPr>
                <w:rFonts w:ascii="Consolas" w:hAnsi="Consolas"/>
                <w:lang w:eastAsia="es-MX"/>
              </w:rPr>
            </w:pPr>
            <w:r w:rsidRPr="00E230AD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EBA" w:rsidRPr="00E230AD" w:rsidRDefault="004B0EBA" w:rsidP="004B0EBA">
            <w:pPr>
              <w:rPr>
                <w:rFonts w:ascii="Consolas" w:hAnsi="Consolas"/>
                <w:lang w:eastAsia="es-MX"/>
              </w:rPr>
            </w:pPr>
            <w:r w:rsidRPr="00E230AD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eastAsia="es-MX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eastAsia="es-MX"/>
              </w:rPr>
              <w:t> </w:t>
            </w:r>
          </w:p>
        </w:tc>
      </w:tr>
      <w:tr w:rsidR="004B0EBA" w:rsidRPr="00E230AD" w:rsidTr="000619A3">
        <w:trPr>
          <w:trHeight w:val="30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E230AD" w:rsidRDefault="000619A3" w:rsidP="004B0EBA">
            <w:pPr>
              <w:jc w:val="both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sz w:val="22"/>
                <w:szCs w:val="22"/>
                <w:lang w:val="es-ES" w:eastAsia="es-MX"/>
              </w:rPr>
              <w:t>7</w:t>
            </w:r>
            <w:r w:rsidR="004B0EBA" w:rsidRPr="00E230AD">
              <w:rPr>
                <w:rFonts w:ascii="Consolas" w:hAnsi="Consolas" w:cs="Arial"/>
                <w:sz w:val="22"/>
                <w:szCs w:val="22"/>
                <w:lang w:val="es-ES" w:eastAsia="es-MX"/>
              </w:rPr>
              <w:t>000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E230AD" w:rsidRDefault="000619A3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Ingresos por Ventas de Bienes y Servicios (Paramuni</w:t>
            </w:r>
            <w:r w:rsidR="009A372E">
              <w:rPr>
                <w:rFonts w:ascii="Consolas" w:hAnsi="Consolas" w:cs="Arial"/>
                <w:lang w:val="es-ES" w:eastAsia="es-MX"/>
              </w:rPr>
              <w:t>ci</w:t>
            </w:r>
            <w:r w:rsidRPr="00E230AD">
              <w:rPr>
                <w:rFonts w:ascii="Consolas" w:hAnsi="Consolas" w:cs="Arial"/>
                <w:lang w:val="es-ES" w:eastAsia="es-MX"/>
              </w:rPr>
              <w:t>pales)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F62" w:rsidRPr="00E230AD" w:rsidRDefault="00077595" w:rsidP="00921033">
            <w:pPr>
              <w:jc w:val="right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320,991</w:t>
            </w:r>
            <w:r w:rsidR="00573CB5">
              <w:rPr>
                <w:rFonts w:ascii="Consolas" w:hAnsi="Consolas" w:cs="Arial"/>
                <w:color w:val="000000"/>
                <w:lang w:eastAsia="es-MX"/>
              </w:rPr>
              <w:t>.04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077595" w:rsidP="004B0EBA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3.8</w:t>
            </w:r>
            <w:r w:rsidR="004B0EBA" w:rsidRPr="00E230AD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4B0EBA" w:rsidRPr="00E230AD" w:rsidTr="000619A3">
        <w:trPr>
          <w:trHeight w:val="30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E230AD" w:rsidRDefault="000619A3" w:rsidP="004B0EBA">
            <w:pPr>
              <w:jc w:val="both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sz w:val="22"/>
                <w:szCs w:val="22"/>
                <w:lang w:val="es-ES" w:eastAsia="es-MX"/>
              </w:rPr>
              <w:t>9000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E230AD" w:rsidRDefault="000619A3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Transferencias, Asignaciones, Subsidios y Otras Ayudas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077595" w:rsidP="00921033">
            <w:pPr>
              <w:jc w:val="right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8,176,634.53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956410" w:rsidP="00921033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9</w:t>
            </w:r>
            <w:r w:rsidR="00077595">
              <w:rPr>
                <w:rFonts w:ascii="Consolas" w:hAnsi="Consolas" w:cs="Arial"/>
                <w:color w:val="000000"/>
                <w:lang w:eastAsia="es-MX"/>
              </w:rPr>
              <w:t>6.2</w:t>
            </w:r>
            <w:r w:rsidR="004B0EBA" w:rsidRPr="00E230AD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7B4000" w:rsidRPr="00E230AD" w:rsidTr="00DC2AB5">
        <w:trPr>
          <w:trHeight w:val="30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000" w:rsidRPr="00E230AD" w:rsidRDefault="007B4000" w:rsidP="004B0EBA">
            <w:pPr>
              <w:jc w:val="both"/>
              <w:rPr>
                <w:rFonts w:ascii="Consolas" w:hAnsi="Consolas" w:cs="Arial"/>
                <w:sz w:val="22"/>
                <w:szCs w:val="22"/>
                <w:lang w:val="es-ES" w:eastAsia="es-MX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000" w:rsidRPr="00E230AD" w:rsidRDefault="007B4000" w:rsidP="004B0EBA">
            <w:pPr>
              <w:jc w:val="both"/>
              <w:rPr>
                <w:rFonts w:ascii="Consolas" w:hAnsi="Consolas" w:cs="Arial"/>
                <w:lang w:val="es-ES" w:eastAsia="es-MX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000" w:rsidRDefault="007B4000" w:rsidP="00921033">
            <w:pPr>
              <w:jc w:val="right"/>
              <w:rPr>
                <w:rFonts w:ascii="Consolas" w:hAnsi="Consolas" w:cs="Arial"/>
                <w:color w:val="000000"/>
                <w:lang w:eastAsia="es-MX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000" w:rsidRDefault="007B4000" w:rsidP="00921033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</w:p>
        </w:tc>
      </w:tr>
      <w:tr w:rsidR="004B0EBA" w:rsidRPr="00E230AD" w:rsidTr="000619A3">
        <w:trPr>
          <w:trHeight w:val="27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B0EBA" w:rsidRPr="00E230AD" w:rsidRDefault="004B0EBA" w:rsidP="004B0EBA">
            <w:pPr>
              <w:rPr>
                <w:rFonts w:ascii="Consolas" w:hAnsi="Consolas"/>
                <w:lang w:eastAsia="es-MX"/>
              </w:rPr>
            </w:pPr>
            <w:r w:rsidRPr="00E230AD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val="es-ES" w:eastAsia="es-MX"/>
              </w:rPr>
              <w:t>TOTAL DE INGRESOS: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077595" w:rsidP="006956F9">
            <w:pPr>
              <w:jc w:val="right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8,497,625.57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right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100%</w:t>
            </w:r>
          </w:p>
        </w:tc>
      </w:tr>
      <w:tr w:rsidR="004B0EBA" w:rsidRPr="00E230AD" w:rsidTr="000619A3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</w:tr>
      <w:tr w:rsidR="004B0EBA" w:rsidRPr="00E230AD" w:rsidTr="000619A3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E230AD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</w:tr>
    </w:tbl>
    <w:p w:rsidR="009506FA" w:rsidRPr="00E230AD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 xml:space="preserve">GASTOS Y OTRAS </w:t>
      </w:r>
      <w:r w:rsidR="008E2D1C" w:rsidRPr="00E230AD">
        <w:rPr>
          <w:rFonts w:ascii="Consolas" w:hAnsi="Consolas"/>
          <w:b/>
          <w:sz w:val="22"/>
          <w:szCs w:val="22"/>
        </w:rPr>
        <w:t>PÉRDIDAS</w:t>
      </w:r>
      <w:r w:rsidRPr="00E230AD">
        <w:rPr>
          <w:rFonts w:ascii="Consolas" w:hAnsi="Consolas"/>
          <w:sz w:val="22"/>
          <w:szCs w:val="22"/>
        </w:rPr>
        <w:t>.</w:t>
      </w:r>
    </w:p>
    <w:p w:rsidR="009506FA" w:rsidRPr="00E230AD" w:rsidRDefault="00F129BE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 7</w:t>
      </w:r>
      <w:r w:rsidR="009F05A5" w:rsidRPr="00E230AD">
        <w:rPr>
          <w:rFonts w:ascii="Consolas" w:hAnsi="Consolas"/>
          <w:b/>
          <w:sz w:val="22"/>
          <w:szCs w:val="22"/>
        </w:rPr>
        <w:t>.-GASTOS Y OTRAS PÉRDIDAS</w:t>
      </w:r>
      <w:r w:rsidR="009506FA" w:rsidRPr="00E230AD">
        <w:rPr>
          <w:rFonts w:ascii="Consolas" w:hAnsi="Consolas"/>
          <w:b/>
          <w:sz w:val="22"/>
          <w:szCs w:val="22"/>
        </w:rPr>
        <w:t>:</w:t>
      </w:r>
    </w:p>
    <w:p w:rsidR="009506FA" w:rsidRPr="00E230AD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04AAA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Este rubro engloba todas aquellas partidas que fueron erogadas durante el </w:t>
      </w:r>
      <w:r w:rsidR="00504AAA">
        <w:rPr>
          <w:rFonts w:ascii="Consolas" w:hAnsi="Consolas"/>
          <w:sz w:val="22"/>
          <w:szCs w:val="22"/>
        </w:rPr>
        <w:t>periodo de e</w:t>
      </w:r>
      <w:r w:rsidR="004B0EBA" w:rsidRPr="00E230AD">
        <w:rPr>
          <w:rFonts w:ascii="Consolas" w:hAnsi="Consolas"/>
          <w:sz w:val="22"/>
          <w:szCs w:val="22"/>
        </w:rPr>
        <w:t xml:space="preserve">nero a </w:t>
      </w:r>
      <w:r w:rsidR="00077595">
        <w:rPr>
          <w:rFonts w:ascii="Consolas" w:hAnsi="Consolas"/>
          <w:sz w:val="22"/>
          <w:szCs w:val="22"/>
        </w:rPr>
        <w:t>dic</w:t>
      </w:r>
      <w:r w:rsidR="00573CB5">
        <w:rPr>
          <w:rFonts w:ascii="Consolas" w:hAnsi="Consolas"/>
          <w:sz w:val="22"/>
          <w:szCs w:val="22"/>
        </w:rPr>
        <w:t>iembre</w:t>
      </w:r>
      <w:r w:rsidR="00956410">
        <w:rPr>
          <w:rFonts w:ascii="Consolas" w:hAnsi="Consolas"/>
          <w:sz w:val="22"/>
          <w:szCs w:val="22"/>
        </w:rPr>
        <w:t xml:space="preserve"> de 2020</w:t>
      </w:r>
      <w:r w:rsidRPr="00E230AD">
        <w:rPr>
          <w:rFonts w:ascii="Consolas" w:hAnsi="Consolas"/>
          <w:sz w:val="22"/>
          <w:szCs w:val="22"/>
        </w:rPr>
        <w:t xml:space="preserve">, relacionadas con la administración del </w:t>
      </w:r>
      <w:r w:rsidR="00F129BE" w:rsidRPr="00E230AD">
        <w:rPr>
          <w:rFonts w:ascii="Consolas" w:hAnsi="Consolas"/>
          <w:sz w:val="22"/>
          <w:szCs w:val="22"/>
        </w:rPr>
        <w:t>Instituto Municipal de Cultura y Arte</w:t>
      </w:r>
      <w:r w:rsidRPr="00E230AD">
        <w:rPr>
          <w:rFonts w:ascii="Consolas" w:hAnsi="Consolas"/>
          <w:sz w:val="22"/>
          <w:szCs w:val="22"/>
        </w:rPr>
        <w:t>, en sus diferentes á</w:t>
      </w:r>
      <w:r w:rsidR="00F129BE" w:rsidRPr="00E230AD">
        <w:rPr>
          <w:rFonts w:ascii="Consolas" w:hAnsi="Consolas"/>
          <w:sz w:val="22"/>
          <w:szCs w:val="22"/>
        </w:rPr>
        <w:t>reas. L</w:t>
      </w:r>
      <w:r w:rsidRPr="00E230AD">
        <w:rPr>
          <w:rFonts w:ascii="Consolas" w:hAnsi="Consolas"/>
          <w:sz w:val="22"/>
          <w:szCs w:val="22"/>
        </w:rPr>
        <w:t>a suma total de los gastos y otras perdidas fue por un monto de $</w:t>
      </w:r>
      <w:r w:rsidR="00077595">
        <w:rPr>
          <w:rFonts w:ascii="Consolas" w:hAnsi="Consolas"/>
          <w:sz w:val="22"/>
          <w:szCs w:val="22"/>
        </w:rPr>
        <w:t xml:space="preserve">8,428,880.39 </w:t>
      </w:r>
      <w:r w:rsidR="007C7CD0" w:rsidRPr="00E230AD">
        <w:rPr>
          <w:rFonts w:ascii="Consolas" w:hAnsi="Consolas"/>
          <w:sz w:val="22"/>
          <w:szCs w:val="22"/>
        </w:rPr>
        <w:t>y se reflejan de la siguiente manera:</w:t>
      </w:r>
    </w:p>
    <w:p w:rsidR="004B0EBA" w:rsidRPr="00E230AD" w:rsidRDefault="00504AA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 </w:t>
      </w:r>
    </w:p>
    <w:tbl>
      <w:tblPr>
        <w:tblW w:w="7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4154"/>
        <w:gridCol w:w="1654"/>
        <w:gridCol w:w="702"/>
      </w:tblGrid>
      <w:tr w:rsidR="004B0EBA" w:rsidRPr="00E230AD" w:rsidTr="00EE1650">
        <w:trPr>
          <w:trHeight w:val="319"/>
        </w:trPr>
        <w:tc>
          <w:tcPr>
            <w:tcW w:w="48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val="es-ES" w:eastAsia="es-MX"/>
              </w:rPr>
              <w:t>E G R E S O S :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eastAsia="es-MX"/>
              </w:rPr>
              <w:t>Egreso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eastAsia="es-MX"/>
              </w:rPr>
              <w:t> </w:t>
            </w:r>
          </w:p>
        </w:tc>
      </w:tr>
      <w:tr w:rsidR="004B0EBA" w:rsidRPr="00E230AD" w:rsidTr="00EE1650">
        <w:trPr>
          <w:trHeight w:val="31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val="es-ES" w:eastAsia="es-MX"/>
              </w:rPr>
              <w:t>Clave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val="es-ES" w:eastAsia="es-MX"/>
              </w:rPr>
              <w:t>Capítulo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eastAsia="es-MX"/>
              </w:rPr>
              <w:t>Ejercido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eastAsia="es-MX"/>
              </w:rPr>
              <w:t>%</w:t>
            </w:r>
          </w:p>
        </w:tc>
      </w:tr>
      <w:tr w:rsidR="004B0EBA" w:rsidRPr="00E230AD" w:rsidTr="00EE1650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B0EBA" w:rsidRPr="00E230AD" w:rsidRDefault="004B0EBA" w:rsidP="004B0EBA">
            <w:pPr>
              <w:rPr>
                <w:rFonts w:ascii="Consolas" w:hAnsi="Consolas"/>
                <w:lang w:eastAsia="es-MX"/>
              </w:rPr>
            </w:pPr>
            <w:r w:rsidRPr="00E230AD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EBA" w:rsidRPr="00E230AD" w:rsidRDefault="004B0EBA" w:rsidP="004B0EBA">
            <w:pPr>
              <w:rPr>
                <w:rFonts w:ascii="Consolas" w:hAnsi="Consolas"/>
                <w:lang w:eastAsia="es-MX"/>
              </w:rPr>
            </w:pPr>
            <w:r w:rsidRPr="00E230AD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eastAsia="es-MX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eastAsia="es-MX"/>
              </w:rPr>
              <w:t> </w:t>
            </w:r>
          </w:p>
        </w:tc>
      </w:tr>
      <w:tr w:rsidR="00210A6A" w:rsidRPr="00E230AD" w:rsidTr="00EE1650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10A6A" w:rsidRPr="00E230AD" w:rsidRDefault="00210A6A" w:rsidP="00210A6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10000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10A6A" w:rsidRPr="00E230AD" w:rsidRDefault="00210A6A" w:rsidP="00210A6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Servicios Personales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A6A" w:rsidRPr="00210A6A" w:rsidRDefault="00077595" w:rsidP="00540E53">
            <w:pPr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7,103</w:t>
            </w:r>
            <w:r w:rsidR="00022EEE">
              <w:rPr>
                <w:rFonts w:ascii="Consolas" w:hAnsi="Consolas"/>
              </w:rPr>
              <w:t>,579.84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A6A" w:rsidRPr="00E230AD" w:rsidRDefault="00573CB5" w:rsidP="00FF57BE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8</w:t>
            </w:r>
            <w:r w:rsidR="00164DD2">
              <w:rPr>
                <w:rFonts w:ascii="Consolas" w:hAnsi="Consolas" w:cs="Arial"/>
                <w:color w:val="000000"/>
                <w:lang w:eastAsia="es-MX"/>
              </w:rPr>
              <w:t>4</w:t>
            </w:r>
            <w:r>
              <w:rPr>
                <w:rFonts w:ascii="Consolas" w:hAnsi="Consolas" w:cs="Arial"/>
                <w:color w:val="000000"/>
                <w:lang w:eastAsia="es-MX"/>
              </w:rPr>
              <w:t>.2</w:t>
            </w:r>
            <w:r w:rsidR="00210A6A" w:rsidRPr="00E230AD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210A6A" w:rsidRPr="00E230AD" w:rsidTr="00EE1650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10A6A" w:rsidRPr="00E230AD" w:rsidRDefault="00210A6A" w:rsidP="00210A6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20000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10A6A" w:rsidRPr="00E230AD" w:rsidRDefault="00210A6A" w:rsidP="00210A6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Materiales y Suministros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A6A" w:rsidRPr="00210A6A" w:rsidRDefault="00022EEE" w:rsidP="00210A6A">
            <w:pPr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59,149.82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A6A" w:rsidRPr="00E230AD" w:rsidRDefault="00573CB5" w:rsidP="00210A6A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0</w:t>
            </w:r>
            <w:r w:rsidR="00FF57BE">
              <w:rPr>
                <w:rFonts w:ascii="Consolas" w:hAnsi="Consolas" w:cs="Arial"/>
                <w:color w:val="000000"/>
                <w:lang w:eastAsia="es-MX"/>
              </w:rPr>
              <w:t>.</w:t>
            </w:r>
            <w:r w:rsidR="00164DD2">
              <w:rPr>
                <w:rFonts w:ascii="Consolas" w:hAnsi="Consolas" w:cs="Arial"/>
                <w:color w:val="000000"/>
                <w:lang w:eastAsia="es-MX"/>
              </w:rPr>
              <w:t>7</w:t>
            </w:r>
            <w:r w:rsidR="00210A6A" w:rsidRPr="00E230AD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210A6A" w:rsidRPr="00E230AD" w:rsidTr="00EE1650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10A6A" w:rsidRPr="00E230AD" w:rsidRDefault="00210A6A" w:rsidP="00210A6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30000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10A6A" w:rsidRPr="00E230AD" w:rsidRDefault="00210A6A" w:rsidP="00210A6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Servicios Generales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A6A" w:rsidRPr="00210A6A" w:rsidRDefault="00022EEE" w:rsidP="00540E53">
            <w:pPr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1,255,170.17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A6A" w:rsidRPr="00E230AD" w:rsidRDefault="00573CB5" w:rsidP="00FF57BE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1</w:t>
            </w:r>
            <w:r w:rsidR="00164DD2">
              <w:rPr>
                <w:rFonts w:ascii="Consolas" w:hAnsi="Consolas" w:cs="Arial"/>
                <w:color w:val="000000"/>
                <w:lang w:eastAsia="es-MX"/>
              </w:rPr>
              <w:t>4.8</w:t>
            </w:r>
            <w:r w:rsidR="00210A6A" w:rsidRPr="00E230AD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D43D56" w:rsidRPr="00E230AD" w:rsidTr="00EE1650">
        <w:trPr>
          <w:trHeight w:val="52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3D56" w:rsidRPr="00E230AD" w:rsidRDefault="00D43D56" w:rsidP="00D43D56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40000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3D56" w:rsidRPr="00E230AD" w:rsidRDefault="00D43D56" w:rsidP="00D43D56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Transfer., Asignac., Subsidios y Ayudas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D56" w:rsidRPr="00D43D56" w:rsidRDefault="00D43D56" w:rsidP="00D43D56">
            <w:pPr>
              <w:jc w:val="right"/>
              <w:rPr>
                <w:rFonts w:ascii="Consolas" w:hAnsi="Consolas"/>
              </w:rPr>
            </w:pPr>
            <w:r w:rsidRPr="00D43D56">
              <w:rPr>
                <w:rFonts w:ascii="Consolas" w:hAnsi="Consolas"/>
              </w:rPr>
              <w:t xml:space="preserve">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D56" w:rsidRPr="00E230AD" w:rsidRDefault="00D43D56" w:rsidP="00D43D56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lang w:eastAsia="es-MX"/>
              </w:rPr>
              <w:t>0%</w:t>
            </w:r>
          </w:p>
        </w:tc>
      </w:tr>
      <w:tr w:rsidR="00D43D56" w:rsidRPr="00E230AD" w:rsidTr="00EE1650">
        <w:trPr>
          <w:trHeight w:val="52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3D56" w:rsidRPr="00E230AD" w:rsidRDefault="00D43D56" w:rsidP="00D43D56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lastRenderedPageBreak/>
              <w:t>50000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3D56" w:rsidRPr="00E230AD" w:rsidRDefault="00D43D56" w:rsidP="00D43D56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Bienes Muebles, Inmuebles e Intangibles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D56" w:rsidRPr="00D43D56" w:rsidRDefault="00022EEE" w:rsidP="00504AAA">
            <w:pPr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10,980.56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D56" w:rsidRPr="00E230AD" w:rsidRDefault="00D43D56" w:rsidP="00D43D56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lang w:eastAsia="es-MX"/>
              </w:rPr>
              <w:t>0</w:t>
            </w:r>
            <w:r w:rsidR="00164DD2">
              <w:rPr>
                <w:rFonts w:ascii="Consolas" w:hAnsi="Consolas" w:cs="Arial"/>
                <w:color w:val="000000"/>
                <w:lang w:eastAsia="es-MX"/>
              </w:rPr>
              <w:t>.3</w:t>
            </w:r>
            <w:r w:rsidRPr="00E230AD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D43D56" w:rsidRPr="00E230AD" w:rsidTr="00EE1650">
        <w:trPr>
          <w:trHeight w:val="30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3D56" w:rsidRPr="00E230AD" w:rsidRDefault="00D43D56" w:rsidP="00D43D56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60000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3D56" w:rsidRPr="00E230AD" w:rsidRDefault="00D43D56" w:rsidP="00D43D56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Inversión Pública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D56" w:rsidRPr="00D43D56" w:rsidRDefault="00D43D56" w:rsidP="00D43D56">
            <w:pPr>
              <w:jc w:val="right"/>
              <w:rPr>
                <w:rFonts w:ascii="Consolas" w:hAnsi="Consolas"/>
              </w:rPr>
            </w:pPr>
            <w:r w:rsidRPr="00D43D56">
              <w:rPr>
                <w:rFonts w:ascii="Consolas" w:hAnsi="Consolas"/>
              </w:rPr>
              <w:t xml:space="preserve">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D56" w:rsidRPr="00E230AD" w:rsidRDefault="00D43D56" w:rsidP="00D43D56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lang w:eastAsia="es-MX"/>
              </w:rPr>
              <w:t>0%</w:t>
            </w:r>
          </w:p>
        </w:tc>
      </w:tr>
      <w:tr w:rsidR="00D43D56" w:rsidRPr="00E230AD" w:rsidTr="00EE1650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3D56" w:rsidRPr="00E230AD" w:rsidRDefault="00D43D56" w:rsidP="00D43D56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90000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3D56" w:rsidRPr="00E230AD" w:rsidRDefault="00D43D56" w:rsidP="00D43D56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Deuda Pública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D56" w:rsidRPr="00D43D56" w:rsidRDefault="00D43D56" w:rsidP="00D43D56">
            <w:pPr>
              <w:jc w:val="right"/>
              <w:rPr>
                <w:rFonts w:ascii="Consolas" w:hAnsi="Consolas"/>
              </w:rPr>
            </w:pPr>
            <w:r w:rsidRPr="00D43D56">
              <w:rPr>
                <w:rFonts w:ascii="Consolas" w:hAnsi="Consolas"/>
              </w:rPr>
              <w:t xml:space="preserve">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D56" w:rsidRPr="00E230AD" w:rsidRDefault="00D43D56" w:rsidP="00D43D56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lang w:eastAsia="es-MX"/>
              </w:rPr>
              <w:t>0%</w:t>
            </w:r>
          </w:p>
        </w:tc>
      </w:tr>
      <w:tr w:rsidR="004B0EBA" w:rsidRPr="00E230AD" w:rsidTr="00EE1650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B0EBA" w:rsidRPr="00E230AD" w:rsidRDefault="004B0EBA" w:rsidP="004B0EBA">
            <w:pPr>
              <w:rPr>
                <w:rFonts w:ascii="Consolas" w:hAnsi="Consolas"/>
                <w:lang w:eastAsia="es-MX"/>
              </w:rPr>
            </w:pPr>
            <w:r w:rsidRPr="00E230AD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E230AD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val="es-ES" w:eastAsia="es-MX"/>
              </w:rPr>
              <w:t>TOTAL DE EGRESOS: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022EEE" w:rsidP="00802E3E">
            <w:pPr>
              <w:jc w:val="right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8,428,880.39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E230AD" w:rsidRDefault="004B0EBA" w:rsidP="004B0EBA">
            <w:pPr>
              <w:jc w:val="center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100%</w:t>
            </w:r>
          </w:p>
        </w:tc>
      </w:tr>
    </w:tbl>
    <w:p w:rsidR="004B0EBA" w:rsidRPr="00E230AD" w:rsidRDefault="004B0EB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21033" w:rsidRDefault="00921033" w:rsidP="0004529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</w:p>
    <w:p w:rsidR="00757015" w:rsidRDefault="00757015" w:rsidP="0004529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</w:p>
    <w:p w:rsidR="007C7CD0" w:rsidRPr="00E230AD" w:rsidRDefault="00554AEC" w:rsidP="0004529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 xml:space="preserve">NOTAS AL ESTADO DE VARIACION DE LA HACIENDA </w:t>
      </w:r>
      <w:r w:rsidR="00746BD1" w:rsidRPr="00E230AD">
        <w:rPr>
          <w:rFonts w:ascii="Consolas" w:hAnsi="Consolas"/>
          <w:b/>
          <w:sz w:val="22"/>
          <w:szCs w:val="22"/>
        </w:rPr>
        <w:t>PÚBLICA</w:t>
      </w:r>
    </w:p>
    <w:p w:rsidR="007C7CD0" w:rsidRPr="00E230AD" w:rsidRDefault="007C7CD0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E230AD" w:rsidRDefault="00554AEC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 xml:space="preserve">NOTA </w:t>
      </w:r>
      <w:r w:rsidR="00F129BE" w:rsidRPr="00E230AD">
        <w:rPr>
          <w:rFonts w:ascii="Consolas" w:hAnsi="Consolas"/>
          <w:b/>
          <w:sz w:val="22"/>
          <w:szCs w:val="22"/>
        </w:rPr>
        <w:t>8</w:t>
      </w:r>
      <w:r w:rsidRPr="00E230AD">
        <w:rPr>
          <w:rFonts w:ascii="Consolas" w:hAnsi="Consolas"/>
          <w:b/>
          <w:sz w:val="22"/>
          <w:szCs w:val="22"/>
        </w:rPr>
        <w:t>.-PATRIMONIO CONTRIBUIDO:</w:t>
      </w:r>
    </w:p>
    <w:p w:rsidR="00554AEC" w:rsidRPr="00E230AD" w:rsidRDefault="00554AEC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54AEC" w:rsidRPr="00E230AD" w:rsidRDefault="00EE1650" w:rsidP="00EE1650">
      <w:pPr>
        <w:pStyle w:val="Textopredeterminado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Durante el periodo de </w:t>
      </w:r>
      <w:r w:rsidR="00504AAA">
        <w:rPr>
          <w:rFonts w:ascii="Consolas" w:hAnsi="Consolas"/>
          <w:sz w:val="22"/>
          <w:szCs w:val="22"/>
        </w:rPr>
        <w:t>enero</w:t>
      </w:r>
      <w:r>
        <w:rPr>
          <w:rFonts w:ascii="Consolas" w:hAnsi="Consolas"/>
          <w:sz w:val="22"/>
          <w:szCs w:val="22"/>
        </w:rPr>
        <w:t xml:space="preserve"> a </w:t>
      </w:r>
      <w:r w:rsidR="00022EEE">
        <w:rPr>
          <w:rFonts w:ascii="Consolas" w:hAnsi="Consolas"/>
          <w:sz w:val="22"/>
          <w:szCs w:val="22"/>
        </w:rPr>
        <w:t>diciembre</w:t>
      </w:r>
      <w:r w:rsidR="00956410">
        <w:rPr>
          <w:rFonts w:ascii="Consolas" w:hAnsi="Consolas"/>
          <w:sz w:val="22"/>
          <w:szCs w:val="22"/>
        </w:rPr>
        <w:t xml:space="preserve"> de 2020</w:t>
      </w:r>
      <w:r w:rsidR="004B0EBA" w:rsidRPr="00E230AD">
        <w:rPr>
          <w:rFonts w:ascii="Consolas" w:hAnsi="Consolas"/>
          <w:sz w:val="22"/>
          <w:szCs w:val="22"/>
        </w:rPr>
        <w:t xml:space="preserve"> l</w:t>
      </w:r>
      <w:r w:rsidR="00A41879" w:rsidRPr="00E230AD">
        <w:rPr>
          <w:rFonts w:ascii="Consolas" w:hAnsi="Consolas"/>
          <w:sz w:val="22"/>
          <w:szCs w:val="22"/>
        </w:rPr>
        <w:t xml:space="preserve">as </w:t>
      </w:r>
      <w:r w:rsidR="008E2D1C" w:rsidRPr="00E230AD">
        <w:rPr>
          <w:rFonts w:ascii="Consolas" w:hAnsi="Consolas"/>
          <w:sz w:val="22"/>
          <w:szCs w:val="22"/>
        </w:rPr>
        <w:t>Aportaciones</w:t>
      </w:r>
      <w:r w:rsidR="00A41879" w:rsidRPr="00E230AD">
        <w:rPr>
          <w:rFonts w:ascii="Consolas" w:hAnsi="Consolas"/>
          <w:sz w:val="22"/>
          <w:szCs w:val="22"/>
        </w:rPr>
        <w:t xml:space="preserve"> </w:t>
      </w:r>
      <w:r w:rsidR="00554AEC" w:rsidRPr="00E230AD">
        <w:rPr>
          <w:rFonts w:ascii="Consolas" w:hAnsi="Consolas"/>
          <w:sz w:val="22"/>
          <w:szCs w:val="22"/>
        </w:rPr>
        <w:t>tuv</w:t>
      </w:r>
      <w:r w:rsidR="00A41879" w:rsidRPr="00E230AD">
        <w:rPr>
          <w:rFonts w:ascii="Consolas" w:hAnsi="Consolas"/>
          <w:sz w:val="22"/>
          <w:szCs w:val="22"/>
        </w:rPr>
        <w:t>ier</w:t>
      </w:r>
      <w:r w:rsidR="00554AEC" w:rsidRPr="00E230AD">
        <w:rPr>
          <w:rFonts w:ascii="Consolas" w:hAnsi="Consolas"/>
          <w:sz w:val="22"/>
          <w:szCs w:val="22"/>
        </w:rPr>
        <w:t>o</w:t>
      </w:r>
      <w:r w:rsidR="00A41879" w:rsidRPr="00E230AD">
        <w:rPr>
          <w:rFonts w:ascii="Consolas" w:hAnsi="Consolas"/>
          <w:sz w:val="22"/>
          <w:szCs w:val="22"/>
        </w:rPr>
        <w:t>n</w:t>
      </w:r>
      <w:r w:rsidR="00554AEC" w:rsidRPr="00E230AD">
        <w:rPr>
          <w:rFonts w:ascii="Consolas" w:hAnsi="Consolas"/>
          <w:sz w:val="22"/>
          <w:szCs w:val="22"/>
        </w:rPr>
        <w:t xml:space="preserve"> </w:t>
      </w:r>
      <w:r>
        <w:rPr>
          <w:rFonts w:ascii="Consolas" w:hAnsi="Consolas"/>
          <w:sz w:val="22"/>
          <w:szCs w:val="22"/>
        </w:rPr>
        <w:t>movimientos de la siguiente manera:</w:t>
      </w:r>
    </w:p>
    <w:p w:rsidR="00802E3E" w:rsidRPr="00E230AD" w:rsidRDefault="00802E3E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3968D3" w:rsidRPr="00E230AD" w:rsidRDefault="003968D3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220"/>
      </w:tblGrid>
      <w:tr w:rsidR="003968D3" w:rsidRPr="00E230AD" w:rsidTr="003968D3">
        <w:trPr>
          <w:trHeight w:val="57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E230AD" w:rsidRDefault="003968D3" w:rsidP="00504AAA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 xml:space="preserve">Saldo Aportaciones al </w:t>
            </w:r>
            <w:r w:rsidR="004307BA">
              <w:rPr>
                <w:rFonts w:ascii="Consolas" w:hAnsi="Consolas" w:cs="Arial"/>
                <w:lang w:val="es-ES" w:eastAsia="es-MX"/>
              </w:rPr>
              <w:t>01</w:t>
            </w:r>
            <w:r w:rsidR="005B139A" w:rsidRPr="00E230AD">
              <w:rPr>
                <w:rFonts w:ascii="Consolas" w:hAnsi="Consolas" w:cs="Arial"/>
                <w:lang w:val="es-ES" w:eastAsia="es-MX"/>
              </w:rPr>
              <w:t xml:space="preserve"> de </w:t>
            </w:r>
            <w:r w:rsidR="00504AAA">
              <w:rPr>
                <w:rFonts w:ascii="Consolas" w:hAnsi="Consolas" w:cs="Arial"/>
                <w:lang w:val="es-ES" w:eastAsia="es-MX"/>
              </w:rPr>
              <w:t>enero</w:t>
            </w:r>
            <w:r w:rsidRPr="00E230AD">
              <w:rPr>
                <w:rFonts w:ascii="Consolas" w:hAnsi="Consolas" w:cs="Arial"/>
                <w:lang w:val="es-ES" w:eastAsia="es-MX"/>
              </w:rPr>
              <w:t xml:space="preserve"> </w:t>
            </w:r>
            <w:r w:rsidR="00E230AD">
              <w:rPr>
                <w:rFonts w:ascii="Consolas" w:hAnsi="Consolas" w:cs="Arial"/>
                <w:lang w:val="es-ES" w:eastAsia="es-MX"/>
              </w:rPr>
              <w:t>20</w:t>
            </w:r>
            <w:r w:rsidR="00956410">
              <w:rPr>
                <w:rFonts w:ascii="Consolas" w:hAnsi="Consolas" w:cs="Arial"/>
                <w:lang w:val="es-ES" w:eastAsia="es-MX"/>
              </w:rPr>
              <w:t>20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E230AD" w:rsidRDefault="00624BAA" w:rsidP="003968D3">
            <w:pPr>
              <w:jc w:val="right"/>
              <w:rPr>
                <w:rFonts w:ascii="Consolas" w:hAnsi="Consolas" w:cs="Arial"/>
                <w:lang w:eastAsia="es-MX"/>
              </w:rPr>
            </w:pPr>
            <w:r>
              <w:rPr>
                <w:rFonts w:ascii="Consolas" w:hAnsi="Consolas" w:cs="Arial"/>
                <w:lang w:val="es-ES" w:eastAsia="es-MX"/>
              </w:rPr>
              <w:t>123,468.64</w:t>
            </w:r>
          </w:p>
        </w:tc>
      </w:tr>
      <w:tr w:rsidR="003968D3" w:rsidRPr="00E230AD" w:rsidTr="003968D3">
        <w:trPr>
          <w:trHeight w:val="319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E230AD" w:rsidRDefault="003968D3" w:rsidP="003968D3">
            <w:pPr>
              <w:jc w:val="both"/>
              <w:rPr>
                <w:rFonts w:ascii="Consolas" w:hAnsi="Consolas" w:cs="Arial"/>
                <w:lang w:eastAsia="es-MX"/>
              </w:rPr>
            </w:pPr>
            <w:r w:rsidRPr="00E230AD">
              <w:rPr>
                <w:rFonts w:ascii="Consolas" w:hAnsi="Consolas" w:cs="Arial"/>
                <w:lang w:val="es-ES" w:eastAsia="es-MX"/>
              </w:rPr>
              <w:t>Aportaciones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E230AD" w:rsidRDefault="00624BAA" w:rsidP="003968D3">
            <w:pPr>
              <w:jc w:val="right"/>
              <w:rPr>
                <w:rFonts w:ascii="Consolas" w:hAnsi="Consolas" w:cs="Arial"/>
                <w:lang w:eastAsia="es-MX"/>
              </w:rPr>
            </w:pPr>
            <w:r>
              <w:rPr>
                <w:rFonts w:ascii="Consolas" w:hAnsi="Consolas" w:cs="Arial"/>
                <w:lang w:val="es-ES" w:eastAsia="es-MX"/>
              </w:rPr>
              <w:t>0.00</w:t>
            </w:r>
          </w:p>
        </w:tc>
      </w:tr>
      <w:tr w:rsidR="003968D3" w:rsidRPr="00E230AD" w:rsidTr="003968D3">
        <w:trPr>
          <w:trHeight w:val="67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E230AD" w:rsidRDefault="00F129BE" w:rsidP="00504AA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lang w:val="es-ES" w:eastAsia="es-MX"/>
              </w:rPr>
              <w:t xml:space="preserve">Saldo Aportaciones al </w:t>
            </w:r>
            <w:r w:rsidR="00757015">
              <w:rPr>
                <w:rFonts w:ascii="Consolas" w:hAnsi="Consolas" w:cs="Arial"/>
                <w:b/>
                <w:bCs/>
                <w:lang w:val="es-ES" w:eastAsia="es-MX"/>
              </w:rPr>
              <w:t>3</w:t>
            </w:r>
            <w:r w:rsidR="00022EEE">
              <w:rPr>
                <w:rFonts w:ascii="Consolas" w:hAnsi="Consolas" w:cs="Arial"/>
                <w:b/>
                <w:bCs/>
                <w:lang w:val="es-ES" w:eastAsia="es-MX"/>
              </w:rPr>
              <w:t>1</w:t>
            </w:r>
            <w:r w:rsidR="00FF57BE">
              <w:rPr>
                <w:rFonts w:ascii="Consolas" w:hAnsi="Consolas" w:cs="Arial"/>
                <w:b/>
                <w:bCs/>
                <w:lang w:val="es-ES" w:eastAsia="es-MX"/>
              </w:rPr>
              <w:t xml:space="preserve"> de </w:t>
            </w:r>
            <w:r w:rsidR="00022EEE">
              <w:rPr>
                <w:rFonts w:ascii="Consolas" w:hAnsi="Consolas" w:cs="Arial"/>
                <w:b/>
                <w:bCs/>
                <w:lang w:val="es-ES" w:eastAsia="es-MX"/>
              </w:rPr>
              <w:t>diciem</w:t>
            </w:r>
            <w:r w:rsidR="00573CB5">
              <w:rPr>
                <w:rFonts w:ascii="Consolas" w:hAnsi="Consolas" w:cs="Arial"/>
                <w:b/>
                <w:bCs/>
                <w:lang w:val="es-ES" w:eastAsia="es-MX"/>
              </w:rPr>
              <w:t>bre</w:t>
            </w:r>
            <w:r w:rsidR="00956410">
              <w:rPr>
                <w:rFonts w:ascii="Consolas" w:hAnsi="Consolas" w:cs="Arial"/>
                <w:b/>
                <w:bCs/>
                <w:lang w:val="es-ES" w:eastAsia="es-MX"/>
              </w:rPr>
              <w:t xml:space="preserve"> de 2020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E230AD" w:rsidRDefault="00EE1650" w:rsidP="003968D3">
            <w:pPr>
              <w:jc w:val="right"/>
              <w:rPr>
                <w:rFonts w:ascii="Consolas" w:hAnsi="Consolas" w:cs="Arial"/>
                <w:b/>
                <w:bCs/>
                <w:lang w:eastAsia="es-MX"/>
              </w:rPr>
            </w:pPr>
            <w:r>
              <w:rPr>
                <w:rFonts w:ascii="Consolas" w:hAnsi="Consolas" w:cs="Arial"/>
                <w:b/>
                <w:bCs/>
                <w:lang w:val="es-ES" w:eastAsia="es-MX"/>
              </w:rPr>
              <w:t>123,468.64</w:t>
            </w:r>
          </w:p>
        </w:tc>
      </w:tr>
    </w:tbl>
    <w:p w:rsidR="003968D3" w:rsidRPr="00E230AD" w:rsidRDefault="003968D3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3968D3" w:rsidRPr="00E230AD" w:rsidRDefault="003968D3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C7B65" w:rsidRPr="00E230AD" w:rsidRDefault="00845CE8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 9</w:t>
      </w:r>
      <w:r w:rsidR="005C7B65" w:rsidRPr="00E230AD">
        <w:rPr>
          <w:rFonts w:ascii="Consolas" w:hAnsi="Consolas"/>
          <w:b/>
          <w:sz w:val="22"/>
          <w:szCs w:val="22"/>
        </w:rPr>
        <w:t>.-PATRIMONIO G</w:t>
      </w:r>
      <w:r w:rsidR="00746BD1" w:rsidRPr="00E230AD">
        <w:rPr>
          <w:rFonts w:ascii="Consolas" w:hAnsi="Consolas"/>
          <w:b/>
          <w:sz w:val="22"/>
          <w:szCs w:val="22"/>
        </w:rPr>
        <w:t>ENERADO</w:t>
      </w:r>
      <w:r w:rsidR="005C7B65" w:rsidRPr="00E230AD">
        <w:rPr>
          <w:rFonts w:ascii="Consolas" w:hAnsi="Consolas"/>
          <w:b/>
          <w:sz w:val="22"/>
          <w:szCs w:val="22"/>
        </w:rPr>
        <w:t>:</w:t>
      </w:r>
    </w:p>
    <w:p w:rsidR="005C7B65" w:rsidRPr="00E230AD" w:rsidRDefault="005C7B65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C7B65" w:rsidRPr="00E230AD" w:rsidRDefault="00387FDF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Durante el periodo de </w:t>
      </w:r>
      <w:r w:rsidR="00504AAA">
        <w:rPr>
          <w:rFonts w:ascii="Consolas" w:hAnsi="Consolas"/>
          <w:sz w:val="22"/>
          <w:szCs w:val="22"/>
        </w:rPr>
        <w:t>e</w:t>
      </w:r>
      <w:r w:rsidRPr="00E230AD">
        <w:rPr>
          <w:rFonts w:ascii="Consolas" w:hAnsi="Consolas"/>
          <w:sz w:val="22"/>
          <w:szCs w:val="22"/>
        </w:rPr>
        <w:t xml:space="preserve">nero a </w:t>
      </w:r>
      <w:r w:rsidR="00022EEE">
        <w:rPr>
          <w:rFonts w:ascii="Consolas" w:hAnsi="Consolas"/>
          <w:sz w:val="22"/>
          <w:szCs w:val="22"/>
        </w:rPr>
        <w:t>diciembre</w:t>
      </w:r>
      <w:r w:rsidR="00956410">
        <w:rPr>
          <w:rFonts w:ascii="Consolas" w:hAnsi="Consolas"/>
          <w:sz w:val="22"/>
          <w:szCs w:val="22"/>
        </w:rPr>
        <w:t xml:space="preserve"> de 2020</w:t>
      </w:r>
      <w:r w:rsidR="00AC0401" w:rsidRPr="00E230AD">
        <w:rPr>
          <w:rFonts w:ascii="Consolas" w:hAnsi="Consolas"/>
          <w:sz w:val="22"/>
          <w:szCs w:val="22"/>
        </w:rPr>
        <w:t xml:space="preserve"> este patrimonio </w:t>
      </w:r>
      <w:r w:rsidRPr="00E230AD">
        <w:rPr>
          <w:rFonts w:ascii="Consolas" w:hAnsi="Consolas"/>
          <w:sz w:val="22"/>
          <w:szCs w:val="22"/>
        </w:rPr>
        <w:t xml:space="preserve">tuvo un </w:t>
      </w:r>
      <w:r w:rsidR="00956410">
        <w:rPr>
          <w:rFonts w:ascii="Consolas" w:hAnsi="Consolas"/>
          <w:sz w:val="22"/>
          <w:szCs w:val="22"/>
        </w:rPr>
        <w:t>in</w:t>
      </w:r>
      <w:r w:rsidRPr="00E230AD">
        <w:rPr>
          <w:rFonts w:ascii="Consolas" w:hAnsi="Consolas"/>
          <w:sz w:val="22"/>
          <w:szCs w:val="22"/>
        </w:rPr>
        <w:t>cremento de</w:t>
      </w:r>
      <w:r w:rsidR="005C7B65" w:rsidRPr="00E230AD">
        <w:rPr>
          <w:rFonts w:ascii="Consolas" w:hAnsi="Consolas"/>
          <w:sz w:val="22"/>
          <w:szCs w:val="22"/>
        </w:rPr>
        <w:t xml:space="preserve"> la siguiente manera:</w:t>
      </w:r>
    </w:p>
    <w:p w:rsidR="005C7B65" w:rsidRPr="00E230AD" w:rsidRDefault="005C7B65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845CE8" w:rsidRPr="00E230AD" w:rsidRDefault="005C7B65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 xml:space="preserve">   </w:t>
      </w:r>
    </w:p>
    <w:p w:rsidR="005C7B65" w:rsidRDefault="00316D2A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 Utilidad </w:t>
      </w:r>
      <w:r w:rsidR="00AE22D3" w:rsidRPr="00E230AD">
        <w:rPr>
          <w:rFonts w:ascii="Consolas" w:hAnsi="Consolas"/>
          <w:sz w:val="22"/>
          <w:szCs w:val="22"/>
        </w:rPr>
        <w:t xml:space="preserve">(ahorro) </w:t>
      </w:r>
      <w:r w:rsidR="00921033">
        <w:rPr>
          <w:rFonts w:ascii="Consolas" w:hAnsi="Consolas"/>
          <w:sz w:val="22"/>
          <w:szCs w:val="22"/>
        </w:rPr>
        <w:t>I</w:t>
      </w:r>
      <w:r w:rsidR="00022EEE">
        <w:rPr>
          <w:rFonts w:ascii="Consolas" w:hAnsi="Consolas"/>
          <w:sz w:val="22"/>
          <w:szCs w:val="22"/>
        </w:rPr>
        <w:t>V</w:t>
      </w:r>
      <w:r w:rsidR="00956410">
        <w:rPr>
          <w:rFonts w:ascii="Consolas" w:hAnsi="Consolas"/>
          <w:sz w:val="22"/>
          <w:szCs w:val="22"/>
        </w:rPr>
        <w:t xml:space="preserve"> trimestre 2020  </w:t>
      </w:r>
      <w:r w:rsidR="00845CE8" w:rsidRPr="00E230AD">
        <w:rPr>
          <w:rFonts w:ascii="Consolas" w:hAnsi="Consolas"/>
          <w:sz w:val="22"/>
          <w:szCs w:val="22"/>
        </w:rPr>
        <w:t xml:space="preserve">  </w:t>
      </w:r>
      <w:r w:rsidR="005C7B65" w:rsidRPr="00E230AD">
        <w:rPr>
          <w:rFonts w:ascii="Consolas" w:hAnsi="Consolas"/>
          <w:sz w:val="22"/>
          <w:szCs w:val="22"/>
        </w:rPr>
        <w:t xml:space="preserve"> por</w:t>
      </w:r>
      <w:r w:rsidR="008B141A" w:rsidRPr="00E230AD">
        <w:rPr>
          <w:rFonts w:ascii="Consolas" w:hAnsi="Consolas"/>
          <w:sz w:val="22"/>
          <w:szCs w:val="22"/>
        </w:rPr>
        <w:t xml:space="preserve"> </w:t>
      </w:r>
      <w:r w:rsidR="00AE22D3" w:rsidRPr="00E230AD">
        <w:rPr>
          <w:rFonts w:ascii="Consolas" w:hAnsi="Consolas"/>
          <w:sz w:val="22"/>
          <w:szCs w:val="22"/>
        </w:rPr>
        <w:t xml:space="preserve">     </w:t>
      </w:r>
      <w:r w:rsidR="00022EEE">
        <w:rPr>
          <w:rFonts w:ascii="Consolas" w:hAnsi="Consolas"/>
          <w:sz w:val="22"/>
          <w:szCs w:val="22"/>
        </w:rPr>
        <w:t xml:space="preserve">  79,725.74</w:t>
      </w:r>
    </w:p>
    <w:p w:rsidR="005C7B65" w:rsidRPr="00E230AD" w:rsidRDefault="00EE1650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 </w:t>
      </w:r>
    </w:p>
    <w:p w:rsidR="005C7B65" w:rsidRPr="00E230AD" w:rsidRDefault="00845CE8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 </w:t>
      </w:r>
      <w:r w:rsidR="00316D2A">
        <w:rPr>
          <w:rFonts w:ascii="Consolas" w:hAnsi="Consolas"/>
          <w:b/>
          <w:sz w:val="22"/>
          <w:szCs w:val="22"/>
        </w:rPr>
        <w:t>Utilidad (</w:t>
      </w:r>
      <w:r w:rsidRPr="00E230AD">
        <w:rPr>
          <w:rFonts w:ascii="Consolas" w:hAnsi="Consolas"/>
          <w:b/>
          <w:sz w:val="22"/>
          <w:szCs w:val="22"/>
        </w:rPr>
        <w:t xml:space="preserve">ahorro) </w:t>
      </w:r>
      <w:r w:rsidR="00387FDF" w:rsidRPr="00E230AD">
        <w:rPr>
          <w:rFonts w:ascii="Consolas" w:hAnsi="Consolas"/>
          <w:b/>
          <w:sz w:val="22"/>
          <w:szCs w:val="22"/>
        </w:rPr>
        <w:t xml:space="preserve">del periodo </w:t>
      </w:r>
      <w:r w:rsidR="00AE22D3" w:rsidRPr="00E230AD">
        <w:rPr>
          <w:rFonts w:ascii="Consolas" w:hAnsi="Consolas"/>
          <w:b/>
          <w:sz w:val="22"/>
          <w:szCs w:val="22"/>
        </w:rPr>
        <w:t xml:space="preserve"> </w:t>
      </w:r>
      <w:r w:rsidRPr="00E230AD">
        <w:rPr>
          <w:rFonts w:ascii="Consolas" w:hAnsi="Consolas"/>
          <w:b/>
          <w:sz w:val="22"/>
          <w:szCs w:val="22"/>
        </w:rPr>
        <w:t xml:space="preserve">  </w:t>
      </w:r>
      <w:r w:rsidR="005C7B65" w:rsidRPr="00E230AD">
        <w:rPr>
          <w:rFonts w:ascii="Consolas" w:hAnsi="Consolas"/>
          <w:b/>
          <w:sz w:val="22"/>
          <w:szCs w:val="22"/>
        </w:rPr>
        <w:t xml:space="preserve">por </w:t>
      </w:r>
      <w:r w:rsidRPr="00E230AD">
        <w:rPr>
          <w:rFonts w:ascii="Consolas" w:hAnsi="Consolas"/>
          <w:b/>
          <w:sz w:val="22"/>
          <w:szCs w:val="22"/>
        </w:rPr>
        <w:t xml:space="preserve">       </w:t>
      </w:r>
      <w:r w:rsidR="00746C6B">
        <w:rPr>
          <w:rFonts w:ascii="Consolas" w:hAnsi="Consolas"/>
          <w:b/>
          <w:sz w:val="22"/>
          <w:szCs w:val="22"/>
        </w:rPr>
        <w:t xml:space="preserve">    </w:t>
      </w:r>
      <w:r w:rsidR="005C7B65" w:rsidRPr="00E230AD">
        <w:rPr>
          <w:rFonts w:ascii="Consolas" w:hAnsi="Consolas"/>
          <w:b/>
          <w:sz w:val="22"/>
          <w:szCs w:val="22"/>
        </w:rPr>
        <w:t>$</w:t>
      </w:r>
      <w:r w:rsidRPr="00E230AD">
        <w:rPr>
          <w:rFonts w:ascii="Consolas" w:hAnsi="Consolas"/>
          <w:b/>
          <w:sz w:val="22"/>
          <w:szCs w:val="22"/>
        </w:rPr>
        <w:t xml:space="preserve"> </w:t>
      </w:r>
      <w:r w:rsidR="00022EEE">
        <w:rPr>
          <w:rFonts w:ascii="Consolas" w:hAnsi="Consolas"/>
          <w:b/>
          <w:sz w:val="22"/>
          <w:szCs w:val="22"/>
        </w:rPr>
        <w:t xml:space="preserve"> 79,725.74</w:t>
      </w:r>
    </w:p>
    <w:p w:rsidR="00F42852" w:rsidRPr="00E230AD" w:rsidRDefault="00F42852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E22D3" w:rsidRPr="00E230AD" w:rsidRDefault="00AE22D3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E230AD" w:rsidRDefault="00514DD7" w:rsidP="00B82813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NOTAS AL ESTADO DE FLUJO DE EFECTIVO</w:t>
      </w:r>
    </w:p>
    <w:p w:rsidR="00514DD7" w:rsidRPr="00E230AD" w:rsidRDefault="00514DD7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A661BA" w:rsidRPr="00E230AD" w:rsidRDefault="00E96B9A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 1</w:t>
      </w:r>
      <w:r w:rsidR="00845CE8" w:rsidRPr="00E230AD">
        <w:rPr>
          <w:rFonts w:ascii="Consolas" w:hAnsi="Consolas"/>
          <w:b/>
          <w:sz w:val="22"/>
          <w:szCs w:val="22"/>
        </w:rPr>
        <w:t>0</w:t>
      </w:r>
      <w:r w:rsidR="00A661BA" w:rsidRPr="00E230AD">
        <w:rPr>
          <w:rFonts w:ascii="Consolas" w:hAnsi="Consolas"/>
          <w:b/>
          <w:sz w:val="22"/>
          <w:szCs w:val="22"/>
        </w:rPr>
        <w:t xml:space="preserve">.- </w:t>
      </w:r>
      <w:r w:rsidRPr="00E230AD">
        <w:rPr>
          <w:rFonts w:ascii="Consolas" w:hAnsi="Consolas"/>
          <w:b/>
          <w:sz w:val="22"/>
          <w:szCs w:val="22"/>
        </w:rPr>
        <w:t>EFECTIVO Y EQUIVALENTES</w:t>
      </w:r>
      <w:r w:rsidR="00A661BA" w:rsidRPr="00E230AD">
        <w:rPr>
          <w:rFonts w:ascii="Consolas" w:hAnsi="Consolas"/>
          <w:b/>
          <w:sz w:val="22"/>
          <w:szCs w:val="22"/>
        </w:rPr>
        <w:t>:</w:t>
      </w:r>
    </w:p>
    <w:p w:rsidR="00A661BA" w:rsidRPr="00E230AD" w:rsidRDefault="00A661BA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14DD7" w:rsidRPr="00E230AD" w:rsidRDefault="00514DD7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Los saldos iniciales y finales del Efectivo y Equivalentes se muestran de </w:t>
      </w:r>
      <w:r w:rsidR="00A661BA" w:rsidRPr="00E230AD">
        <w:rPr>
          <w:rFonts w:ascii="Consolas" w:hAnsi="Consolas"/>
          <w:sz w:val="22"/>
          <w:szCs w:val="22"/>
        </w:rPr>
        <w:t xml:space="preserve">la </w:t>
      </w:r>
      <w:r w:rsidRPr="00E230AD">
        <w:rPr>
          <w:rFonts w:ascii="Consolas" w:hAnsi="Consolas"/>
          <w:sz w:val="22"/>
          <w:szCs w:val="22"/>
        </w:rPr>
        <w:t>siguien</w:t>
      </w:r>
      <w:r w:rsidR="00CD77F6">
        <w:rPr>
          <w:rFonts w:ascii="Consolas" w:hAnsi="Consolas"/>
          <w:sz w:val="22"/>
          <w:szCs w:val="22"/>
        </w:rPr>
        <w:t>te manera al 01 de e</w:t>
      </w:r>
      <w:r w:rsidR="00387FDF" w:rsidRPr="00E230AD">
        <w:rPr>
          <w:rFonts w:ascii="Consolas" w:hAnsi="Consolas"/>
          <w:sz w:val="22"/>
          <w:szCs w:val="22"/>
        </w:rPr>
        <w:t xml:space="preserve">nero al </w:t>
      </w:r>
      <w:r w:rsidR="00022EEE">
        <w:rPr>
          <w:rFonts w:ascii="Consolas" w:hAnsi="Consolas"/>
          <w:sz w:val="22"/>
          <w:szCs w:val="22"/>
        </w:rPr>
        <w:t>31 de dic</w:t>
      </w:r>
      <w:r w:rsidR="00573CB5">
        <w:rPr>
          <w:rFonts w:ascii="Consolas" w:hAnsi="Consolas"/>
          <w:sz w:val="22"/>
          <w:szCs w:val="22"/>
        </w:rPr>
        <w:t>iembre</w:t>
      </w:r>
      <w:r w:rsidR="00A37949">
        <w:rPr>
          <w:rFonts w:ascii="Consolas" w:hAnsi="Consolas"/>
          <w:sz w:val="22"/>
          <w:szCs w:val="22"/>
        </w:rPr>
        <w:t xml:space="preserve"> de 2020</w:t>
      </w:r>
    </w:p>
    <w:p w:rsidR="00554AEC" w:rsidRPr="00E230AD" w:rsidRDefault="00554AEC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E230AD" w:rsidRDefault="00554AEC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E230AD" w:rsidRDefault="00514DD7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      Concepto                      </w:t>
      </w:r>
      <w:r w:rsidR="005D37C1" w:rsidRPr="00E230AD">
        <w:rPr>
          <w:rFonts w:ascii="Consolas" w:hAnsi="Consolas"/>
          <w:sz w:val="22"/>
          <w:szCs w:val="22"/>
        </w:rPr>
        <w:t xml:space="preserve">01 enero </w:t>
      </w:r>
      <w:r w:rsidR="00E230AD">
        <w:rPr>
          <w:rFonts w:ascii="Consolas" w:hAnsi="Consolas"/>
          <w:sz w:val="22"/>
          <w:szCs w:val="22"/>
        </w:rPr>
        <w:t>20</w:t>
      </w:r>
      <w:r w:rsidR="00A37949">
        <w:rPr>
          <w:rFonts w:ascii="Consolas" w:hAnsi="Consolas"/>
          <w:sz w:val="22"/>
          <w:szCs w:val="22"/>
        </w:rPr>
        <w:t>20</w:t>
      </w:r>
      <w:r w:rsidRPr="00E230AD">
        <w:rPr>
          <w:rFonts w:ascii="Consolas" w:hAnsi="Consolas"/>
          <w:sz w:val="22"/>
          <w:szCs w:val="22"/>
        </w:rPr>
        <w:t xml:space="preserve">     </w:t>
      </w:r>
      <w:r w:rsidR="00287AC0">
        <w:rPr>
          <w:rFonts w:ascii="Consolas" w:hAnsi="Consolas"/>
          <w:sz w:val="22"/>
          <w:szCs w:val="22"/>
        </w:rPr>
        <w:t xml:space="preserve">    </w:t>
      </w:r>
      <w:r w:rsidR="00746C6B">
        <w:rPr>
          <w:rFonts w:ascii="Consolas" w:hAnsi="Consolas"/>
          <w:sz w:val="22"/>
          <w:szCs w:val="22"/>
        </w:rPr>
        <w:t xml:space="preserve"> </w:t>
      </w:r>
      <w:r w:rsidR="00045296" w:rsidRPr="00E230AD">
        <w:rPr>
          <w:rFonts w:ascii="Consolas" w:hAnsi="Consolas"/>
          <w:sz w:val="22"/>
          <w:szCs w:val="22"/>
        </w:rPr>
        <w:t xml:space="preserve"> </w:t>
      </w:r>
      <w:r w:rsidR="00FF57BE">
        <w:rPr>
          <w:rFonts w:ascii="Consolas" w:hAnsi="Consolas"/>
          <w:sz w:val="22"/>
          <w:szCs w:val="22"/>
        </w:rPr>
        <w:t>3</w:t>
      </w:r>
      <w:r w:rsidR="002D342C">
        <w:rPr>
          <w:rFonts w:ascii="Consolas" w:hAnsi="Consolas"/>
          <w:sz w:val="22"/>
          <w:szCs w:val="22"/>
        </w:rPr>
        <w:t>1</w:t>
      </w:r>
      <w:r w:rsidR="00757015">
        <w:rPr>
          <w:rFonts w:ascii="Consolas" w:hAnsi="Consolas"/>
          <w:sz w:val="22"/>
          <w:szCs w:val="22"/>
        </w:rPr>
        <w:t xml:space="preserve"> de </w:t>
      </w:r>
      <w:r w:rsidR="002D342C">
        <w:rPr>
          <w:rFonts w:ascii="Consolas" w:hAnsi="Consolas"/>
          <w:sz w:val="22"/>
          <w:szCs w:val="22"/>
        </w:rPr>
        <w:t xml:space="preserve">dic. </w:t>
      </w:r>
      <w:r w:rsidR="00A37949">
        <w:rPr>
          <w:rFonts w:ascii="Consolas" w:hAnsi="Consolas"/>
          <w:sz w:val="22"/>
          <w:szCs w:val="22"/>
        </w:rPr>
        <w:t>2020</w:t>
      </w:r>
    </w:p>
    <w:p w:rsidR="00514DD7" w:rsidRPr="00E230AD" w:rsidRDefault="00514DD7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440"/>
        <w:gridCol w:w="2260"/>
      </w:tblGrid>
      <w:tr w:rsidR="005D37C1" w:rsidRPr="00E230AD" w:rsidTr="005D37C1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E230AD" w:rsidRDefault="005D37C1" w:rsidP="005D37C1">
            <w:pPr>
              <w:jc w:val="both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sz w:val="22"/>
                <w:szCs w:val="22"/>
                <w:lang w:val="es-ES" w:eastAsia="es-MX"/>
              </w:rPr>
              <w:t xml:space="preserve">Efectivo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E230AD" w:rsidRDefault="00845CE8" w:rsidP="005D37C1">
            <w:pPr>
              <w:jc w:val="right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sz w:val="22"/>
                <w:szCs w:val="22"/>
                <w:lang w:val="es-ES" w:eastAsia="es-MX"/>
              </w:rPr>
              <w:t>0.00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E230AD" w:rsidRDefault="00845CE8" w:rsidP="005D37C1">
            <w:pPr>
              <w:jc w:val="right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sz w:val="22"/>
                <w:szCs w:val="22"/>
                <w:lang w:val="es-ES" w:eastAsia="es-MX"/>
              </w:rPr>
              <w:t>0.00</w:t>
            </w:r>
          </w:p>
        </w:tc>
      </w:tr>
      <w:tr w:rsidR="005D37C1" w:rsidRPr="00E230AD" w:rsidTr="005D37C1">
        <w:trPr>
          <w:trHeight w:val="58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E230AD" w:rsidRDefault="005D37C1" w:rsidP="005D37C1">
            <w:pPr>
              <w:jc w:val="both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sz w:val="22"/>
                <w:szCs w:val="22"/>
                <w:lang w:val="es-ES" w:eastAsia="es-MX"/>
              </w:rPr>
              <w:t>Fondos Propios + Fondos con afectación específica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E230AD" w:rsidRDefault="00845CE8" w:rsidP="005D37C1">
            <w:pPr>
              <w:jc w:val="right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sz w:val="22"/>
                <w:szCs w:val="22"/>
                <w:lang w:val="es-ES" w:eastAsia="es-MX"/>
              </w:rPr>
              <w:t>0.00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E230AD" w:rsidRDefault="00845CE8" w:rsidP="005D37C1">
            <w:pPr>
              <w:jc w:val="right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sz w:val="22"/>
                <w:szCs w:val="22"/>
                <w:lang w:val="es-ES" w:eastAsia="es-MX"/>
              </w:rPr>
              <w:t>0.00</w:t>
            </w:r>
          </w:p>
        </w:tc>
      </w:tr>
      <w:tr w:rsidR="005D37C1" w:rsidRPr="00E230AD" w:rsidTr="005D37C1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E230AD" w:rsidRDefault="005D37C1" w:rsidP="005D37C1">
            <w:pPr>
              <w:jc w:val="both"/>
              <w:rPr>
                <w:rFonts w:ascii="Consolas" w:hAnsi="Consolas" w:cs="Arial"/>
                <w:b/>
                <w:bCs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sz w:val="22"/>
                <w:szCs w:val="22"/>
                <w:lang w:val="es-ES" w:eastAsia="es-MX"/>
              </w:rPr>
              <w:lastRenderedPageBreak/>
              <w:t>Total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E230AD" w:rsidRDefault="00845CE8" w:rsidP="005D37C1">
            <w:pPr>
              <w:jc w:val="right"/>
              <w:rPr>
                <w:rFonts w:ascii="Consolas" w:hAnsi="Consolas" w:cs="Arial"/>
                <w:b/>
                <w:bCs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sz w:val="22"/>
                <w:szCs w:val="22"/>
                <w:lang w:val="es-ES" w:eastAsia="es-MX"/>
              </w:rPr>
              <w:t>0.00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E230AD" w:rsidRDefault="00845CE8" w:rsidP="005D37C1">
            <w:pPr>
              <w:jc w:val="right"/>
              <w:rPr>
                <w:rFonts w:ascii="Consolas" w:hAnsi="Consolas" w:cs="Arial"/>
                <w:b/>
                <w:bCs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sz w:val="22"/>
                <w:szCs w:val="22"/>
                <w:lang w:val="es-ES" w:eastAsia="es-MX"/>
              </w:rPr>
              <w:t>0.00</w:t>
            </w:r>
          </w:p>
        </w:tc>
      </w:tr>
    </w:tbl>
    <w:p w:rsidR="005D37C1" w:rsidRPr="00E230AD" w:rsidRDefault="005D37C1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D37C1" w:rsidRDefault="005D37C1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D77F6" w:rsidRDefault="00CD77F6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D77F6" w:rsidRDefault="00CD77F6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D77F6" w:rsidRDefault="00CD77F6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D77F6" w:rsidRDefault="00CD77F6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287AC0" w:rsidRDefault="00287AC0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D43D56" w:rsidRDefault="00D43D56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287AC0" w:rsidRPr="00E230AD" w:rsidRDefault="00287AC0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E230AD" w:rsidRDefault="00554A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E230AD" w:rsidRDefault="00AE22D3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 xml:space="preserve">    </w:t>
      </w:r>
      <w:r w:rsidR="00A661BA" w:rsidRPr="00E230AD">
        <w:rPr>
          <w:rFonts w:ascii="Consolas" w:hAnsi="Consolas"/>
          <w:b/>
          <w:sz w:val="22"/>
          <w:szCs w:val="22"/>
        </w:rPr>
        <w:t>NOTA 1</w:t>
      </w:r>
      <w:r w:rsidR="00845CE8" w:rsidRPr="00E230AD">
        <w:rPr>
          <w:rFonts w:ascii="Consolas" w:hAnsi="Consolas"/>
          <w:b/>
          <w:sz w:val="22"/>
          <w:szCs w:val="22"/>
        </w:rPr>
        <w:t>1</w:t>
      </w:r>
      <w:r w:rsidR="00A661BA" w:rsidRPr="00E230AD">
        <w:rPr>
          <w:rFonts w:ascii="Consolas" w:hAnsi="Consolas"/>
          <w:b/>
          <w:sz w:val="22"/>
          <w:szCs w:val="22"/>
        </w:rPr>
        <w:t>.- CONCILIACION ENTRE INGRESOS PRESUPUESTARIOS</w:t>
      </w:r>
      <w:r w:rsidR="00C1157D" w:rsidRPr="00E230AD">
        <w:rPr>
          <w:rFonts w:ascii="Consolas" w:hAnsi="Consolas"/>
          <w:b/>
          <w:sz w:val="22"/>
          <w:szCs w:val="22"/>
        </w:rPr>
        <w:t xml:space="preserve"> Y CONTABLES</w:t>
      </w:r>
    </w:p>
    <w:p w:rsidR="00C1157D" w:rsidRPr="00E230AD" w:rsidRDefault="00C1157D" w:rsidP="000C5782">
      <w:pPr>
        <w:pStyle w:val="Textopredeterminado"/>
        <w:ind w:hanging="216"/>
        <w:jc w:val="both"/>
        <w:rPr>
          <w:rFonts w:ascii="Consolas" w:hAnsi="Consolas"/>
          <w:sz w:val="22"/>
          <w:szCs w:val="22"/>
        </w:rPr>
      </w:pPr>
    </w:p>
    <w:p w:rsidR="00C1157D" w:rsidRPr="00E230AD" w:rsidRDefault="00C1157D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>Los ingres</w:t>
      </w:r>
      <w:r w:rsidR="00CD77F6">
        <w:rPr>
          <w:rFonts w:ascii="Consolas" w:hAnsi="Consolas"/>
          <w:sz w:val="22"/>
          <w:szCs w:val="22"/>
        </w:rPr>
        <w:t>os presupuestarios del periodo e</w:t>
      </w:r>
      <w:r w:rsidR="00B94EEF" w:rsidRPr="00E230AD">
        <w:rPr>
          <w:rFonts w:ascii="Consolas" w:hAnsi="Consolas"/>
          <w:sz w:val="22"/>
          <w:szCs w:val="22"/>
        </w:rPr>
        <w:t xml:space="preserve">nero a </w:t>
      </w:r>
      <w:r w:rsidR="002D342C">
        <w:rPr>
          <w:rFonts w:ascii="Consolas" w:hAnsi="Consolas"/>
          <w:sz w:val="22"/>
          <w:szCs w:val="22"/>
        </w:rPr>
        <w:t>diciembre</w:t>
      </w:r>
      <w:r w:rsidR="00A37949">
        <w:rPr>
          <w:rFonts w:ascii="Consolas" w:hAnsi="Consolas"/>
          <w:sz w:val="22"/>
          <w:szCs w:val="22"/>
        </w:rPr>
        <w:t xml:space="preserve"> de 2020</w:t>
      </w:r>
      <w:r w:rsidR="00B94EEF" w:rsidRPr="00E230AD">
        <w:rPr>
          <w:rFonts w:ascii="Consolas" w:hAnsi="Consolas"/>
          <w:sz w:val="22"/>
          <w:szCs w:val="22"/>
        </w:rPr>
        <w:t xml:space="preserve"> no sufrieron diferencias</w:t>
      </w:r>
      <w:r w:rsidRPr="00E230AD">
        <w:rPr>
          <w:rFonts w:ascii="Consolas" w:hAnsi="Consolas"/>
          <w:sz w:val="22"/>
          <w:szCs w:val="22"/>
        </w:rPr>
        <w:t xml:space="preserve"> de los ingresos</w:t>
      </w:r>
      <w:r w:rsidR="00A5327D" w:rsidRPr="00E230AD">
        <w:rPr>
          <w:rFonts w:ascii="Consolas" w:hAnsi="Consolas"/>
          <w:sz w:val="22"/>
          <w:szCs w:val="22"/>
        </w:rPr>
        <w:t>.</w:t>
      </w:r>
      <w:r w:rsidRPr="00E230AD">
        <w:rPr>
          <w:rFonts w:ascii="Consolas" w:hAnsi="Consolas"/>
          <w:sz w:val="22"/>
          <w:szCs w:val="22"/>
        </w:rPr>
        <w:t xml:space="preserve"> </w:t>
      </w:r>
    </w:p>
    <w:p w:rsidR="005E4F98" w:rsidRPr="00E230AD" w:rsidRDefault="005E4F98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4"/>
      </w:tblGrid>
      <w:tr w:rsidR="005E4F98" w:rsidRPr="00E230AD" w:rsidTr="001F4F3F">
        <w:trPr>
          <w:trHeight w:val="288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F98" w:rsidRPr="00E230AD" w:rsidRDefault="005E4F98" w:rsidP="000C5782">
            <w:pPr>
              <w:jc w:val="both"/>
              <w:rPr>
                <w:rFonts w:ascii="Consolas" w:hAnsi="Consolas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/>
                <w:b/>
                <w:bCs/>
                <w:color w:val="000000"/>
                <w:sz w:val="22"/>
                <w:szCs w:val="22"/>
                <w:lang w:eastAsia="es-MX"/>
              </w:rPr>
              <w:t>CONCILIACION ENTRE LOS INGRESOS PRESUPUESTARIOS Y  CONTABLES</w:t>
            </w:r>
          </w:p>
        </w:tc>
      </w:tr>
    </w:tbl>
    <w:p w:rsidR="005E4F98" w:rsidRPr="00E230AD" w:rsidRDefault="005E4F98" w:rsidP="000C5782">
      <w:pPr>
        <w:pStyle w:val="Textopredeterminado"/>
        <w:ind w:hanging="216"/>
        <w:jc w:val="both"/>
        <w:rPr>
          <w:rFonts w:ascii="Consolas" w:hAnsi="Consolas"/>
          <w:sz w:val="22"/>
          <w:szCs w:val="22"/>
        </w:rPr>
      </w:pPr>
    </w:p>
    <w:tbl>
      <w:tblPr>
        <w:tblW w:w="101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040"/>
        <w:gridCol w:w="1441"/>
        <w:gridCol w:w="1660"/>
      </w:tblGrid>
      <w:tr w:rsidR="00B94EEF" w:rsidRPr="00E230AD" w:rsidTr="00757015"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INGRESOS PRESUPUESTARIOS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4EEF" w:rsidRPr="00E230AD" w:rsidRDefault="002D342C" w:rsidP="00FD6DD6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8,497,625.57</w:t>
            </w:r>
          </w:p>
        </w:tc>
      </w:tr>
      <w:tr w:rsidR="00B94EEF" w:rsidRPr="00E230AD" w:rsidTr="00B94EEF">
        <w:trPr>
          <w:trHeight w:val="6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MAS INGRESOS CONTABLES NO PRESUPUESTALES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E230AD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E230AD" w:rsidTr="00B94EEF">
        <w:trPr>
          <w:trHeight w:val="6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Otros ingresos contables no presupuestarios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E230AD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Remanente de ejercicios anteriores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E230AD" w:rsidTr="00B94EEF">
        <w:trPr>
          <w:trHeight w:val="6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MENOS INGRESOS PRESUPUESTARIOS NO CONTABLES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E230AD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EEF" w:rsidRPr="00E230AD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E230AD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E230AD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INGRESOS CONTABLES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E230AD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57BE" w:rsidRDefault="002D342C" w:rsidP="00FF57B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8,497,625.57</w:t>
            </w:r>
          </w:p>
          <w:p w:rsidR="00B94EEF" w:rsidRPr="00E230AD" w:rsidRDefault="00B94EEF" w:rsidP="00FD6DD6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</w:tr>
    </w:tbl>
    <w:p w:rsidR="00B94EEF" w:rsidRPr="00E230AD" w:rsidRDefault="00B94EEF" w:rsidP="000C5782">
      <w:pPr>
        <w:pStyle w:val="Textopredeterminado"/>
        <w:ind w:hanging="216"/>
        <w:jc w:val="both"/>
        <w:rPr>
          <w:rFonts w:ascii="Consolas" w:hAnsi="Consolas"/>
          <w:sz w:val="22"/>
          <w:szCs w:val="22"/>
        </w:rPr>
      </w:pPr>
    </w:p>
    <w:p w:rsidR="00C1157D" w:rsidRPr="00E230AD" w:rsidRDefault="00C1157D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1157D" w:rsidRPr="00E230AD" w:rsidRDefault="00C1157D" w:rsidP="00BB31F8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 1</w:t>
      </w:r>
      <w:r w:rsidR="00845CE8" w:rsidRPr="00E230AD">
        <w:rPr>
          <w:rFonts w:ascii="Consolas" w:hAnsi="Consolas"/>
          <w:b/>
          <w:sz w:val="22"/>
          <w:szCs w:val="22"/>
        </w:rPr>
        <w:t>2</w:t>
      </w:r>
      <w:r w:rsidRPr="00E230AD">
        <w:rPr>
          <w:rFonts w:ascii="Consolas" w:hAnsi="Consolas"/>
          <w:b/>
          <w:sz w:val="22"/>
          <w:szCs w:val="22"/>
        </w:rPr>
        <w:t>.- CONCILIACION ENTRE EGRESOS PRESUPUESTARIOS Y GASTOS CONTABLES:</w:t>
      </w:r>
    </w:p>
    <w:p w:rsidR="00C1157D" w:rsidRPr="00E230AD" w:rsidRDefault="00C1157D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</w:p>
    <w:p w:rsidR="00C1157D" w:rsidRPr="00E230AD" w:rsidRDefault="00845CE8" w:rsidP="000C5782">
      <w:pPr>
        <w:pStyle w:val="Textopredeterminado"/>
        <w:ind w:hanging="216"/>
        <w:jc w:val="both"/>
        <w:rPr>
          <w:rFonts w:ascii="Consolas" w:hAnsi="Consolas"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>Los egresos se representan de la siguiente manera:</w:t>
      </w:r>
    </w:p>
    <w:p w:rsidR="00176038" w:rsidRPr="00E230AD" w:rsidRDefault="00C1157D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sz w:val="22"/>
          <w:szCs w:val="22"/>
        </w:rPr>
        <w:t xml:space="preserve">   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1"/>
      </w:tblGrid>
      <w:tr w:rsidR="00176038" w:rsidRPr="00E230AD" w:rsidTr="001F4F3F">
        <w:trPr>
          <w:trHeight w:val="288"/>
        </w:trPr>
        <w:tc>
          <w:tcPr>
            <w:tcW w:w="93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176038" w:rsidRPr="00E230AD" w:rsidRDefault="00176038" w:rsidP="000C5782">
            <w:pPr>
              <w:jc w:val="both"/>
              <w:rPr>
                <w:rFonts w:ascii="Consolas" w:hAnsi="Consolas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/>
                <w:b/>
                <w:bCs/>
                <w:color w:val="000000"/>
                <w:sz w:val="22"/>
                <w:szCs w:val="22"/>
                <w:lang w:eastAsia="es-MX"/>
              </w:rPr>
              <w:t>CONCILIACION ENTRE LOS EGRESOS PRESUPUESTARIOS Y LOS GASTOS CONTABLES</w:t>
            </w:r>
          </w:p>
        </w:tc>
      </w:tr>
    </w:tbl>
    <w:p w:rsidR="00CC48CE" w:rsidRPr="00E230AD" w:rsidRDefault="00CC48CE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</w:p>
    <w:tbl>
      <w:tblPr>
        <w:tblW w:w="100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1"/>
        <w:gridCol w:w="2040"/>
        <w:gridCol w:w="1441"/>
        <w:gridCol w:w="1660"/>
      </w:tblGrid>
      <w:tr w:rsidR="00A5327D" w:rsidRPr="00E230AD" w:rsidTr="00A5327D">
        <w:trPr>
          <w:trHeight w:val="315"/>
        </w:trPr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TOTAL DE EGRESOS (PRESUPUESTARIOS)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F57BE" w:rsidRDefault="002D342C" w:rsidP="00FF57B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8,428,880.39</w:t>
            </w:r>
          </w:p>
          <w:p w:rsidR="00A5327D" w:rsidRPr="00E230AD" w:rsidRDefault="00A5327D" w:rsidP="00FD6DD6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</w:tr>
      <w:tr w:rsidR="00A5327D" w:rsidRPr="00E230AD" w:rsidTr="00845CE8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MENOS EGRESOS PRESUPUESTARIOS NO CONTABLES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845CE8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Mobiliario y equipo de administración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lastRenderedPageBreak/>
              <w:t>Vehículos y equipo terrestre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Bienes Inmuebles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Activos Intangibles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Obra Pública en bienes propios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Amortización de la deuda Pública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Adeudos de ejercicios fiscales anteriores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Otros egresos presupuestales no contables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MAS GASTOS CONTABLES NO PRESUPUESTALES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9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Provisiones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Otros Gastos contables no presupuestales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27D" w:rsidRPr="00E230AD" w:rsidTr="00FF57BE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TOTAL DEL GASTO CONTABLE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27D" w:rsidRPr="00E230AD" w:rsidRDefault="00A5327D" w:rsidP="00A5327D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230AD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327D" w:rsidRPr="00E230AD" w:rsidRDefault="0057619E" w:rsidP="00A37949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8,428,880.39</w:t>
            </w:r>
          </w:p>
        </w:tc>
      </w:tr>
    </w:tbl>
    <w:p w:rsidR="00A5327D" w:rsidRPr="00E230AD" w:rsidRDefault="00A5327D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</w:p>
    <w:p w:rsidR="00C1157D" w:rsidRPr="00E230AD" w:rsidRDefault="003B53D8" w:rsidP="00045296">
      <w:pPr>
        <w:pStyle w:val="Textopredeterminado"/>
        <w:ind w:hanging="216"/>
        <w:jc w:val="center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NOTAS DE MEMORIA CUENTAS DE ORDEN</w:t>
      </w:r>
    </w:p>
    <w:p w:rsidR="008A7425" w:rsidRPr="00E230AD" w:rsidRDefault="008A7425" w:rsidP="00045296">
      <w:pPr>
        <w:pStyle w:val="Textopredeterminado"/>
        <w:ind w:hanging="216"/>
        <w:jc w:val="center"/>
        <w:rPr>
          <w:rFonts w:ascii="Consolas" w:hAnsi="Consolas"/>
          <w:b/>
          <w:sz w:val="22"/>
          <w:szCs w:val="22"/>
        </w:rPr>
      </w:pPr>
    </w:p>
    <w:p w:rsidR="003B53D8" w:rsidRPr="00E230AD" w:rsidRDefault="003B53D8" w:rsidP="001F4F3F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CUENTAS DE ORDEN CONTABLES Y PRESUPUESTALES</w:t>
      </w:r>
    </w:p>
    <w:p w:rsidR="003B53D8" w:rsidRPr="00E230AD" w:rsidRDefault="003B53D8" w:rsidP="001F4F3F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3B53D8" w:rsidRPr="00E230AD" w:rsidRDefault="003B53D8" w:rsidP="001F4F3F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E230AD">
        <w:rPr>
          <w:rFonts w:ascii="Consolas" w:hAnsi="Consolas"/>
          <w:b/>
          <w:sz w:val="22"/>
          <w:szCs w:val="22"/>
        </w:rPr>
        <w:t>NOTA 1</w:t>
      </w:r>
      <w:r w:rsidR="00845CE8" w:rsidRPr="00E230AD">
        <w:rPr>
          <w:rFonts w:ascii="Consolas" w:hAnsi="Consolas"/>
          <w:b/>
          <w:sz w:val="22"/>
          <w:szCs w:val="22"/>
        </w:rPr>
        <w:t>3</w:t>
      </w:r>
      <w:r w:rsidRPr="00E230AD">
        <w:rPr>
          <w:rFonts w:ascii="Consolas" w:hAnsi="Consolas"/>
          <w:b/>
          <w:sz w:val="22"/>
          <w:szCs w:val="22"/>
        </w:rPr>
        <w:t>.- CUENTAS DE ORDEN</w:t>
      </w:r>
    </w:p>
    <w:p w:rsidR="003B53D8" w:rsidRPr="005A44CE" w:rsidRDefault="003B53D8" w:rsidP="001F4F3F">
      <w:pPr>
        <w:pStyle w:val="Textopredeterminado"/>
        <w:jc w:val="both"/>
        <w:rPr>
          <w:rFonts w:ascii="Consolas" w:hAnsi="Consolas"/>
          <w:b/>
          <w:szCs w:val="22"/>
        </w:rPr>
      </w:pPr>
    </w:p>
    <w:p w:rsidR="006D167D" w:rsidRPr="005A44CE" w:rsidRDefault="00CD77F6" w:rsidP="001F4F3F">
      <w:pPr>
        <w:pStyle w:val="Textopredeterminado"/>
        <w:jc w:val="both"/>
        <w:rPr>
          <w:rFonts w:ascii="Consolas" w:hAnsi="Consolas"/>
          <w:b/>
          <w:sz w:val="22"/>
        </w:rPr>
      </w:pPr>
      <w:r>
        <w:rPr>
          <w:rFonts w:ascii="Consolas" w:hAnsi="Consolas"/>
          <w:b/>
          <w:sz w:val="22"/>
        </w:rPr>
        <w:t xml:space="preserve">13.1.- </w:t>
      </w:r>
      <w:r w:rsidR="006D167D" w:rsidRPr="005A44CE">
        <w:rPr>
          <w:rFonts w:ascii="Consolas" w:hAnsi="Consolas"/>
          <w:b/>
          <w:sz w:val="22"/>
        </w:rPr>
        <w:t>CUENTAS DE ORDEN CONTABLES:</w:t>
      </w:r>
    </w:p>
    <w:p w:rsidR="006D167D" w:rsidRPr="00E230AD" w:rsidRDefault="006D167D" w:rsidP="001F4F3F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6D167D" w:rsidRDefault="005A44CE" w:rsidP="001F4F3F">
      <w:pPr>
        <w:pStyle w:val="Textopredeterminado"/>
        <w:jc w:val="both"/>
        <w:rPr>
          <w:rFonts w:ascii="Consolas" w:hAnsi="Consolas"/>
          <w:sz w:val="22"/>
        </w:rPr>
      </w:pPr>
      <w:r>
        <w:rPr>
          <w:rFonts w:ascii="Consolas" w:hAnsi="Consolas"/>
          <w:sz w:val="22"/>
        </w:rPr>
        <w:t>Derivado de los compromisos contingentes, se registraron, las siguientes cuentas de orden:</w:t>
      </w:r>
    </w:p>
    <w:p w:rsidR="005A44CE" w:rsidRDefault="005A44CE" w:rsidP="001F4F3F">
      <w:pPr>
        <w:pStyle w:val="Textopredeterminado"/>
        <w:jc w:val="both"/>
        <w:rPr>
          <w:rFonts w:ascii="Consolas" w:hAnsi="Consolas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7"/>
      </w:tblGrid>
      <w:tr w:rsidR="005A44CE" w:rsidTr="00071881">
        <w:tc>
          <w:tcPr>
            <w:tcW w:w="4807" w:type="dxa"/>
          </w:tcPr>
          <w:p w:rsidR="005A44CE" w:rsidRPr="005A44CE" w:rsidRDefault="005A44CE" w:rsidP="005A44CE">
            <w:pPr>
              <w:pStyle w:val="Textopredeterminado"/>
              <w:jc w:val="center"/>
              <w:rPr>
                <w:rFonts w:ascii="Consolas" w:hAnsi="Consolas"/>
                <w:b/>
                <w:sz w:val="22"/>
              </w:rPr>
            </w:pPr>
            <w:r w:rsidRPr="005A44CE">
              <w:rPr>
                <w:rFonts w:ascii="Consolas" w:hAnsi="Consolas"/>
                <w:b/>
                <w:sz w:val="22"/>
              </w:rPr>
              <w:t>Concepto/Nombre de la Cuenta</w:t>
            </w:r>
          </w:p>
        </w:tc>
        <w:tc>
          <w:tcPr>
            <w:tcW w:w="4807" w:type="dxa"/>
          </w:tcPr>
          <w:p w:rsidR="005A44CE" w:rsidRPr="005A44CE" w:rsidRDefault="005A44CE" w:rsidP="005A44CE">
            <w:pPr>
              <w:pStyle w:val="Textopredeterminado"/>
              <w:jc w:val="center"/>
              <w:rPr>
                <w:rFonts w:ascii="Consolas" w:hAnsi="Consolas"/>
                <w:b/>
                <w:sz w:val="22"/>
              </w:rPr>
            </w:pPr>
            <w:r w:rsidRPr="005A44CE">
              <w:rPr>
                <w:rFonts w:ascii="Consolas" w:hAnsi="Consolas"/>
                <w:b/>
                <w:sz w:val="22"/>
              </w:rPr>
              <w:t>Importe</w:t>
            </w:r>
          </w:p>
        </w:tc>
      </w:tr>
      <w:tr w:rsidR="005A44CE" w:rsidTr="00071881">
        <w:tc>
          <w:tcPr>
            <w:tcW w:w="4807" w:type="dxa"/>
          </w:tcPr>
          <w:p w:rsidR="005A44CE" w:rsidRDefault="005A44CE" w:rsidP="00071881">
            <w:pPr>
              <w:pStyle w:val="Textopredeterminado"/>
              <w:jc w:val="both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z w:val="22"/>
              </w:rPr>
              <w:t xml:space="preserve">Bienes </w:t>
            </w:r>
            <w:r w:rsidR="00071881">
              <w:rPr>
                <w:rFonts w:ascii="Consolas" w:hAnsi="Consolas"/>
                <w:sz w:val="22"/>
              </w:rPr>
              <w:t>B</w:t>
            </w:r>
            <w:r>
              <w:rPr>
                <w:rFonts w:ascii="Consolas" w:hAnsi="Consolas"/>
                <w:sz w:val="22"/>
              </w:rPr>
              <w:t xml:space="preserve">ajo </w:t>
            </w:r>
            <w:r w:rsidR="00071881">
              <w:rPr>
                <w:rFonts w:ascii="Consolas" w:hAnsi="Consolas"/>
                <w:sz w:val="22"/>
              </w:rPr>
              <w:t>C</w:t>
            </w:r>
            <w:r>
              <w:rPr>
                <w:rFonts w:ascii="Consolas" w:hAnsi="Consolas"/>
                <w:sz w:val="22"/>
              </w:rPr>
              <w:t xml:space="preserve">ontrato de </w:t>
            </w:r>
            <w:r w:rsidR="00071881">
              <w:rPr>
                <w:rFonts w:ascii="Consolas" w:hAnsi="Consolas"/>
                <w:sz w:val="22"/>
              </w:rPr>
              <w:t>C</w:t>
            </w:r>
            <w:r>
              <w:rPr>
                <w:rFonts w:ascii="Consolas" w:hAnsi="Consolas"/>
                <w:sz w:val="22"/>
              </w:rPr>
              <w:t>omodato</w:t>
            </w:r>
          </w:p>
        </w:tc>
        <w:tc>
          <w:tcPr>
            <w:tcW w:w="4807" w:type="dxa"/>
          </w:tcPr>
          <w:p w:rsidR="005A44CE" w:rsidRDefault="005A44CE" w:rsidP="00773BBB">
            <w:pPr>
              <w:pStyle w:val="Textopredeterminado"/>
              <w:jc w:val="right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z w:val="22"/>
              </w:rPr>
              <w:t xml:space="preserve">$ </w:t>
            </w:r>
            <w:r w:rsidR="00773BBB">
              <w:rPr>
                <w:rFonts w:ascii="Consolas" w:hAnsi="Consolas"/>
                <w:sz w:val="22"/>
              </w:rPr>
              <w:t>131,215.78</w:t>
            </w:r>
          </w:p>
        </w:tc>
      </w:tr>
      <w:tr w:rsidR="005A44CE" w:rsidTr="00071881">
        <w:tc>
          <w:tcPr>
            <w:tcW w:w="4807" w:type="dxa"/>
          </w:tcPr>
          <w:p w:rsidR="005A44CE" w:rsidRDefault="005A44CE" w:rsidP="001F4F3F">
            <w:pPr>
              <w:pStyle w:val="Textopredeterminado"/>
              <w:jc w:val="both"/>
              <w:rPr>
                <w:rFonts w:ascii="Consolas" w:hAnsi="Consolas"/>
                <w:sz w:val="22"/>
              </w:rPr>
            </w:pPr>
          </w:p>
        </w:tc>
        <w:tc>
          <w:tcPr>
            <w:tcW w:w="4807" w:type="dxa"/>
          </w:tcPr>
          <w:p w:rsidR="005A44CE" w:rsidRDefault="005A44CE" w:rsidP="005A44CE">
            <w:pPr>
              <w:pStyle w:val="Textopredeterminado"/>
              <w:jc w:val="right"/>
              <w:rPr>
                <w:rFonts w:ascii="Consolas" w:hAnsi="Consolas"/>
                <w:sz w:val="22"/>
              </w:rPr>
            </w:pPr>
          </w:p>
        </w:tc>
      </w:tr>
      <w:tr w:rsidR="005A44CE" w:rsidTr="00071881">
        <w:tc>
          <w:tcPr>
            <w:tcW w:w="4807" w:type="dxa"/>
          </w:tcPr>
          <w:p w:rsidR="005A44CE" w:rsidRPr="00071881" w:rsidRDefault="005A44CE" w:rsidP="001F4F3F">
            <w:pPr>
              <w:pStyle w:val="Textopredeterminado"/>
              <w:jc w:val="both"/>
              <w:rPr>
                <w:rFonts w:ascii="Consolas" w:hAnsi="Consolas"/>
                <w:b/>
                <w:sz w:val="22"/>
              </w:rPr>
            </w:pPr>
            <w:r w:rsidRPr="00071881">
              <w:rPr>
                <w:rFonts w:ascii="Consolas" w:hAnsi="Consolas"/>
                <w:b/>
                <w:sz w:val="22"/>
              </w:rPr>
              <w:t>Total de Cuentas de Orden Contables</w:t>
            </w:r>
          </w:p>
        </w:tc>
        <w:tc>
          <w:tcPr>
            <w:tcW w:w="4807" w:type="dxa"/>
          </w:tcPr>
          <w:p w:rsidR="005A44CE" w:rsidRPr="00071881" w:rsidRDefault="00071881" w:rsidP="00773BBB">
            <w:pPr>
              <w:pStyle w:val="Textopredeterminado"/>
              <w:jc w:val="right"/>
              <w:rPr>
                <w:rFonts w:ascii="Consolas" w:hAnsi="Consolas"/>
                <w:b/>
                <w:sz w:val="22"/>
              </w:rPr>
            </w:pPr>
            <w:r w:rsidRPr="00071881">
              <w:rPr>
                <w:rFonts w:ascii="Consolas" w:hAnsi="Consolas"/>
                <w:b/>
                <w:sz w:val="22"/>
              </w:rPr>
              <w:t xml:space="preserve">$ </w:t>
            </w:r>
            <w:r w:rsidR="00773BBB">
              <w:rPr>
                <w:rFonts w:ascii="Consolas" w:hAnsi="Consolas"/>
                <w:b/>
                <w:sz w:val="22"/>
              </w:rPr>
              <w:t>131,215.78</w:t>
            </w:r>
          </w:p>
        </w:tc>
      </w:tr>
    </w:tbl>
    <w:p w:rsidR="005A44CE" w:rsidRPr="005A44CE" w:rsidRDefault="005A44CE" w:rsidP="001F4F3F">
      <w:pPr>
        <w:pStyle w:val="Textopredeterminado"/>
        <w:jc w:val="both"/>
        <w:rPr>
          <w:rFonts w:ascii="Consolas" w:hAnsi="Consolas"/>
          <w:sz w:val="22"/>
        </w:rPr>
      </w:pPr>
    </w:p>
    <w:p w:rsidR="00AC5E8D" w:rsidRPr="00CD77F6" w:rsidRDefault="00CD77F6" w:rsidP="001F4F3F">
      <w:pPr>
        <w:pStyle w:val="Textopredeterminado"/>
        <w:jc w:val="both"/>
        <w:rPr>
          <w:rFonts w:ascii="Consolas" w:hAnsi="Consolas"/>
          <w:b/>
          <w:sz w:val="22"/>
        </w:rPr>
      </w:pPr>
      <w:r w:rsidRPr="00CD77F6">
        <w:rPr>
          <w:rFonts w:ascii="Consolas" w:hAnsi="Consolas"/>
          <w:b/>
          <w:sz w:val="22"/>
        </w:rPr>
        <w:t>13.2.- CUENTAS DE ORDEN PRESUPUESTARIAS</w:t>
      </w:r>
    </w:p>
    <w:p w:rsidR="00CD77F6" w:rsidRDefault="00CD77F6" w:rsidP="001F4F3F">
      <w:pPr>
        <w:pStyle w:val="Textopredeterminado"/>
        <w:jc w:val="both"/>
        <w:rPr>
          <w:rFonts w:ascii="Consolas" w:hAnsi="Consolas"/>
          <w:sz w:val="20"/>
        </w:rPr>
      </w:pPr>
    </w:p>
    <w:tbl>
      <w:tblPr>
        <w:tblW w:w="8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960"/>
      </w:tblGrid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Ley de Ingresos Estimada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57619E" w:rsidP="005666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7,754,066.00</w:t>
            </w:r>
            <w:r w:rsidR="00566638" w:rsidRPr="0056663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Ley de Ingresos por Ejecutar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573CB5" w:rsidP="005666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="0057619E">
              <w:rPr>
                <w:rFonts w:ascii="Arial" w:hAnsi="Arial" w:cs="Arial"/>
                <w:sz w:val="22"/>
              </w:rPr>
              <w:t>743,559.57</w:t>
            </w: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Ley de Ingresos Devengada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566638" w:rsidP="00566638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Ley de Ingresos Recaudada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57619E" w:rsidP="005666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8,4</w:t>
            </w:r>
            <w:r w:rsidR="001C2CB3">
              <w:rPr>
                <w:rFonts w:ascii="Arial" w:hAnsi="Arial" w:cs="Arial"/>
                <w:sz w:val="22"/>
              </w:rPr>
              <w:t>97,625.57</w:t>
            </w: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Aproba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566503" w:rsidP="005666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7,754,066.00</w:t>
            </w: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Presupuesto de Egresos por Ej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B01AD8" w:rsidP="000575D2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="00566503">
              <w:rPr>
                <w:rFonts w:ascii="Arial" w:hAnsi="Arial" w:cs="Arial"/>
                <w:sz w:val="22"/>
              </w:rPr>
              <w:t>674,814.39</w:t>
            </w: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Compro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566638" w:rsidP="00566638">
            <w:pPr>
              <w:jc w:val="right"/>
              <w:rPr>
                <w:rFonts w:ascii="Arial" w:hAnsi="Arial" w:cs="Arial"/>
                <w:sz w:val="22"/>
              </w:rPr>
            </w:pPr>
            <w:r w:rsidRPr="00566638">
              <w:rPr>
                <w:rFonts w:ascii="Arial" w:hAnsi="Arial" w:cs="Arial"/>
                <w:sz w:val="22"/>
              </w:rPr>
              <w:t xml:space="preserve">0.00 </w:t>
            </w: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Deveng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566638" w:rsidP="00566638">
            <w:pPr>
              <w:jc w:val="right"/>
              <w:rPr>
                <w:rFonts w:ascii="Arial" w:hAnsi="Arial" w:cs="Arial"/>
                <w:sz w:val="22"/>
              </w:rPr>
            </w:pPr>
            <w:r w:rsidRPr="00566638">
              <w:rPr>
                <w:rFonts w:ascii="Arial" w:hAnsi="Arial" w:cs="Arial"/>
                <w:sz w:val="22"/>
              </w:rPr>
              <w:t xml:space="preserve">0.00 </w:t>
            </w: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Ejerci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566638" w:rsidP="00566638">
            <w:pPr>
              <w:jc w:val="right"/>
              <w:rPr>
                <w:rFonts w:ascii="Arial" w:hAnsi="Arial" w:cs="Arial"/>
                <w:sz w:val="22"/>
              </w:rPr>
            </w:pPr>
            <w:r w:rsidRPr="00566638">
              <w:rPr>
                <w:rFonts w:ascii="Arial" w:hAnsi="Arial" w:cs="Arial"/>
                <w:sz w:val="22"/>
              </w:rPr>
              <w:t xml:space="preserve">0.00 </w:t>
            </w: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Pagado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566638" w:rsidRDefault="00566503" w:rsidP="005666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8,428,880.39</w:t>
            </w:r>
            <w:r w:rsidR="00566638" w:rsidRPr="0056663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66638" w:rsidRPr="00921033" w:rsidTr="00847A0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6638" w:rsidRPr="00921033" w:rsidRDefault="00566638" w:rsidP="0056663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66638" w:rsidRPr="004E20A8" w:rsidRDefault="00566638" w:rsidP="00566638"/>
        </w:tc>
      </w:tr>
      <w:tr w:rsidR="00921033" w:rsidRPr="00921033" w:rsidTr="00921033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1033" w:rsidRPr="00921033" w:rsidRDefault="00921033" w:rsidP="009210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9210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Suma Cuentas de Orden Contables y Presupuestales</w:t>
            </w:r>
            <w:r w:rsidR="005665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  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1033" w:rsidRPr="00921033" w:rsidRDefault="00566503" w:rsidP="00573CB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15,508,132.00</w:t>
            </w:r>
          </w:p>
        </w:tc>
      </w:tr>
    </w:tbl>
    <w:p w:rsidR="00CD77F6" w:rsidRDefault="00CD77F6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CD77F6" w:rsidRDefault="00CD77F6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CD77F6" w:rsidRDefault="00CD77F6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5D6BBB" w:rsidRDefault="005D6BBB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5D6BBB" w:rsidRDefault="005D6BBB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5D6BBB" w:rsidRDefault="005D6BBB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5D6BBB" w:rsidRPr="005D6BBB" w:rsidRDefault="005D6BBB" w:rsidP="005D6BBB">
      <w:pPr>
        <w:jc w:val="center"/>
        <w:rPr>
          <w:rFonts w:ascii="Consolas" w:hAnsi="Consolas"/>
          <w:b/>
          <w:sz w:val="22"/>
          <w:szCs w:val="22"/>
        </w:rPr>
      </w:pPr>
      <w:r w:rsidRPr="00441552">
        <w:rPr>
          <w:rFonts w:ascii="Consolas" w:hAnsi="Consolas"/>
          <w:b/>
          <w:sz w:val="22"/>
          <w:szCs w:val="22"/>
        </w:rPr>
        <w:t>NOTAS DE GESTIÓN ADMINISTRATIVA</w:t>
      </w:r>
    </w:p>
    <w:p w:rsidR="005D6BBB" w:rsidRPr="005D6BBB" w:rsidRDefault="005D6BBB" w:rsidP="005D6BBB">
      <w:pPr>
        <w:jc w:val="center"/>
        <w:rPr>
          <w:rFonts w:ascii="Consolas" w:hAnsi="Consolas"/>
          <w:b/>
          <w:sz w:val="22"/>
          <w:szCs w:val="22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Helvetica" w:eastAsia="Arial Unicode MS" w:hAnsi="Helvetica" w:cs="Mangal"/>
          <w:b/>
          <w:kern w:val="1"/>
          <w:sz w:val="24"/>
          <w:szCs w:val="24"/>
          <w:lang w:eastAsia="hi-IN" w:bidi="hi-IN"/>
        </w:rPr>
        <w:t xml:space="preserve"> </w:t>
      </w: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Introducción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Los Estados Financieros de Instituto Municipal de Cultura y Arte, que refleja los saldos y movimientos, al 3</w:t>
      </w:r>
      <w:r w:rsidR="00566503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1</w:t>
      </w: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 de </w:t>
      </w:r>
      <w:r w:rsidR="00566503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diciembre</w:t>
      </w:r>
      <w:r w:rsidR="00B01AD8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 de 2020</w:t>
      </w: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, proveen de información financiera a los principales usuarios de la misma, al Congreso y a los ciudadanos.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El objetivo del presente documento es la revelación del contexto y de los aspectos económicos-financieros más relevantes que influyeron en las decisiones del período, y que se consideran para la mejor toma de decisiones.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2.      Panorama Económico y Financiero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El Municipio de Guaymas, Sonora y sus órganos económico-administrativos en los que se localizan las Paramunicipales, juegan un papel muy importante en el desarrollo de las actividades locales y regionales. El IMCA pertenece a un brazo administrativo del gobierno municipal y por lo mismo obtiene una participación económica para solventar las operaciones diarias del mismo.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El IMCA brinda opciones de esparcimiento cultural y artístico a la ciudadanía guaymense, con el fin de preparar a niños, jóvenes y ofrecer un escenario sano en la convivencia con adultos mayores en donde desarrollan sus habilidades para la pintura, el canto, los instrumentos y el baile. Con todo esto, IMCA ofrece los servicios de talleres dinámicos, artísticos y musicales, provee las herramientas y artículos necesarios para el desenvolvimiento de las personas en cualquiera de las ramas artísticas y culturales. 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El Panorama financiero produce una estabilidad de ingresos propios por lo menos al cierre del 20</w:t>
      </w:r>
      <w:r w:rsidR="00566503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20</w:t>
      </w: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. Durante el verano se crea el campamento para niños en época vacacional. Los in</w:t>
      </w:r>
      <w:r w:rsidR="000575D2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gresos propios representan, al 3</w:t>
      </w:r>
      <w:r w:rsidR="00566503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1</w:t>
      </w:r>
      <w:r w:rsidR="000575D2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 de </w:t>
      </w:r>
      <w:r w:rsidR="00566503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diciembre</w:t>
      </w:r>
      <w:r w:rsidR="00B01AD8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 de 2020</w:t>
      </w: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, representaron el </w:t>
      </w:r>
      <w:r w:rsidR="00566503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3.8</w:t>
      </w: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% de los ingresos totales. Esto derivado de las operaciones realizadas en el periodo en mención. 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Los gastos fijos como son, servicios personales, papelería y mantenimiento de oficina representan el </w:t>
      </w:r>
      <w:r w:rsidR="00573CB5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8</w:t>
      </w:r>
      <w:r w:rsidR="00F979B9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4</w:t>
      </w:r>
      <w:r w:rsidR="00573CB5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.2</w:t>
      </w: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% de los gastos al </w:t>
      </w:r>
      <w:r w:rsidR="00566638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cierre del periodo</w:t>
      </w: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3.      Autorización e Historia</w:t>
      </w:r>
    </w:p>
    <w:p w:rsidR="005D6BBB" w:rsidRPr="005D6BBB" w:rsidRDefault="005D6BBB" w:rsidP="005D6BBB">
      <w:pPr>
        <w:numPr>
          <w:ilvl w:val="0"/>
          <w:numId w:val="46"/>
        </w:numPr>
        <w:suppressAutoHyphens/>
        <w:spacing w:line="360" w:lineRule="auto"/>
        <w:ind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Fecha de creación del ente.</w:t>
      </w:r>
    </w:p>
    <w:p w:rsidR="005D6BBB" w:rsidRPr="005D6BBB" w:rsidRDefault="005D6BBB" w:rsidP="005D6BBB">
      <w:pPr>
        <w:suppressAutoHyphens/>
        <w:spacing w:line="360" w:lineRule="auto"/>
        <w:ind w:left="142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La fecha de creación y es del 12 de enero de 2010, misma en donde se adquieren los poderes nominales para la dirección general</w:t>
      </w:r>
    </w:p>
    <w:p w:rsidR="005D6BBB" w:rsidRPr="005D6BBB" w:rsidRDefault="005D6BBB" w:rsidP="005D6BBB">
      <w:pPr>
        <w:numPr>
          <w:ilvl w:val="0"/>
          <w:numId w:val="46"/>
        </w:numPr>
        <w:suppressAutoHyphens/>
        <w:spacing w:line="360" w:lineRule="auto"/>
        <w:ind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Principales cambios en su estructura.</w:t>
      </w:r>
    </w:p>
    <w:p w:rsidR="005D6BBB" w:rsidRPr="005D6BBB" w:rsidRDefault="005D6BBB" w:rsidP="005D6BBB">
      <w:pPr>
        <w:suppressAutoHyphens/>
        <w:spacing w:line="360" w:lineRule="auto"/>
        <w:ind w:left="142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El organismo mantiene una estructura que considera necesaria para la realización de las operaciones básicas. Desde su creación, la figura del director general permanece, y se mantiene la base nominal establecida desde origen del instituto.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4.      Organización y Objeto Social</w:t>
      </w:r>
    </w:p>
    <w:p w:rsidR="005D6BBB" w:rsidRPr="005D6BBB" w:rsidRDefault="005D6BBB" w:rsidP="005D6BBB">
      <w:pPr>
        <w:numPr>
          <w:ilvl w:val="0"/>
          <w:numId w:val="47"/>
        </w:numPr>
        <w:suppressAutoHyphens/>
        <w:spacing w:line="360" w:lineRule="auto"/>
        <w:ind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Objeto social.</w:t>
      </w:r>
    </w:p>
    <w:p w:rsidR="005D6BBB" w:rsidRPr="005D6BBB" w:rsidRDefault="005D6BBB" w:rsidP="005D6BBB">
      <w:pPr>
        <w:suppressAutoHyphens/>
        <w:spacing w:line="360" w:lineRule="auto"/>
        <w:ind w:left="142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El objeto social del organismo es la de brindar espacios de esparcimiento cultural y artístico a través de talleres y eventos a fin de crear convivencia sana.</w:t>
      </w:r>
    </w:p>
    <w:p w:rsidR="005D6BBB" w:rsidRPr="005D6BBB" w:rsidRDefault="005D6BBB" w:rsidP="005D6BBB">
      <w:pPr>
        <w:numPr>
          <w:ilvl w:val="0"/>
          <w:numId w:val="47"/>
        </w:numPr>
        <w:suppressAutoHyphens/>
        <w:spacing w:line="360" w:lineRule="auto"/>
        <w:ind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Principal actividad.</w:t>
      </w:r>
    </w:p>
    <w:p w:rsidR="005D6BBB" w:rsidRPr="005D6BBB" w:rsidRDefault="005D6BBB" w:rsidP="005D6BBB">
      <w:pPr>
        <w:suppressAutoHyphens/>
        <w:spacing w:line="360" w:lineRule="auto"/>
        <w:ind w:left="142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Sin duda, la principal actividad es ofrecer talleres artísticos y culturales así como crear eventos de índole cultural para los guaymenses.</w:t>
      </w:r>
    </w:p>
    <w:p w:rsidR="005D6BBB" w:rsidRPr="005D6BBB" w:rsidRDefault="005D6BBB" w:rsidP="005D6BBB">
      <w:pPr>
        <w:numPr>
          <w:ilvl w:val="0"/>
          <w:numId w:val="47"/>
        </w:numPr>
        <w:suppressAutoHyphens/>
        <w:spacing w:line="360" w:lineRule="auto"/>
        <w:ind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Ejercicio fiscal.</w:t>
      </w:r>
    </w:p>
    <w:p w:rsidR="005D6BBB" w:rsidRPr="005D6BBB" w:rsidRDefault="005D6BBB" w:rsidP="005D6BBB">
      <w:pPr>
        <w:suppressAutoHyphens/>
        <w:spacing w:line="360" w:lineRule="auto"/>
        <w:ind w:left="142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Los ejercicios fiscales comprenden las operaciones del 01 de enero al 31 de diciembre de cada ejercicio.</w:t>
      </w:r>
    </w:p>
    <w:p w:rsidR="005D6BBB" w:rsidRPr="005D6BBB" w:rsidRDefault="005D6BBB" w:rsidP="005D6BBB">
      <w:pPr>
        <w:numPr>
          <w:ilvl w:val="0"/>
          <w:numId w:val="47"/>
        </w:numPr>
        <w:suppressAutoHyphens/>
        <w:spacing w:line="360" w:lineRule="auto"/>
        <w:ind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Régimen jurídico.</w:t>
      </w:r>
    </w:p>
    <w:p w:rsidR="005D6BBB" w:rsidRPr="005D6BBB" w:rsidRDefault="005D6BBB" w:rsidP="005D6BBB">
      <w:pPr>
        <w:suppressAutoHyphens/>
        <w:spacing w:line="360" w:lineRule="auto"/>
        <w:ind w:left="142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El régimen fiscal es la de persona moral no contribuyente del Impuesto Sobre la Renta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lastRenderedPageBreak/>
        <w:t xml:space="preserve">e)    Consideraciones fiscales del ente: 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El organismo tiene la responsabilidad de retener el </w:t>
      </w:r>
      <w:r w:rsidR="00566638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ISR</w:t>
      </w: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 por concepto de nómina, asimilables a salarios así como el pago de honorarios profesionales y arrendamientos. En materia de seguridad social, el IMCA cuenta con ISSSTESON por lo que se retiene a los empleados registrados ante este instituto.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g)    Fideicomisos, mandatos y análogos de los cuales es fideicomitente o fideicomisario.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El organismo no cuenta con fideicomisos, mandatos y análogos de ninguna especie.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5.      Bases de Preparación de los Estados Financieros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La base de la preparación de los estados financieros se realizó con base a la normatividad emitida por CONAC y las disposiciones legales aplicables. En los mismos se reconoce la valoración, valuación y revela los diferentes rubros de la información financiera, así como las bases de medición utilizadas para la elaboración de los estados financieros. 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Los costos utilizados en las operaciones son a valor histórico, mismos que son comprobados por las facturas y/o evidencia necesaria para el registro correspondiente.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Así mismo, los asientos contables registrados y la información financiera se realizaron bajo los postulados básicos de contabilidad gubernamental.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Nuestra contabilidad es en base devengado de acuerdo a la Ley de Contabilidad manifestando las siguientes políticas de registro: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- Los registros contables son con costos históricos 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- Las pólizas utilizadas para la afectación del devengado son: Ingresos (I) así como los Pagos Directos (P) en donde se crean los momentos contables: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2003E5" w:rsidRDefault="002003E5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2003E5" w:rsidRDefault="002003E5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2003E5" w:rsidRDefault="002003E5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2003E5" w:rsidRDefault="002003E5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2003E5" w:rsidRDefault="002003E5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2003E5" w:rsidRDefault="002003E5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2003E5" w:rsidRDefault="002003E5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2003E5" w:rsidRDefault="002003E5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B01AD8" w:rsidRDefault="00B01AD8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ESTADO DE S</w:t>
      </w:r>
      <w:r w:rsidR="00F979B9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ITUACION FINANCIERA</w:t>
      </w:r>
    </w:p>
    <w:p w:rsidR="00FB7952" w:rsidRDefault="00F979B9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>
        <w:rPr>
          <w:rFonts w:ascii="Consolas" w:eastAsia="Arial Unicode MS" w:hAnsi="Consolas" w:cs="Mangal"/>
          <w:b/>
          <w:noProof/>
          <w:kern w:val="1"/>
          <w:sz w:val="22"/>
          <w:szCs w:val="22"/>
          <w:lang w:eastAsia="es-MX"/>
        </w:rPr>
        <w:drawing>
          <wp:inline distT="0" distB="0" distL="0" distR="0">
            <wp:extent cx="6639346" cy="5917223"/>
            <wp:effectExtent l="0" t="0" r="9525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587" cy="591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52" w:rsidRDefault="00FB7952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FB7952" w:rsidRDefault="00FB7952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FB7952" w:rsidRDefault="00FB7952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FB7952" w:rsidRDefault="00FB7952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FB7952" w:rsidRDefault="00FB7952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FB7952" w:rsidRPr="005D6BBB" w:rsidRDefault="00FB7952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2003E5">
      <w:pPr>
        <w:suppressAutoHyphens/>
        <w:spacing w:line="360" w:lineRule="auto"/>
        <w:ind w:right="383" w:firstLine="717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B40E17">
      <w:pPr>
        <w:suppressAutoHyphens/>
        <w:spacing w:line="360" w:lineRule="auto"/>
        <w:ind w:right="383" w:hanging="426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6.      Políticas de Contabilidad Significativas</w:t>
      </w: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a)    Actualización: El valor de los activos, pasivos y capital/patrimonio es valor histórico, el IMCA no reexpresa sus estados financieros.</w:t>
      </w: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b)    El IMCA no tiene relaciones con operaciones en el extranjero, de hecho, sus ingresos propios y por Transferencias son generados en el país.</w:t>
      </w: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c)     El IMCA no cuenta con inversiones financieras ni maneja ningún título de valor en la bolsa mexicana de valores.</w:t>
      </w: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d)    No contamos con Inventarios.</w:t>
      </w: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e)    Provisiones: Las provisiones se realizan de acuerdo a las necesidades de registro. Para el IMCA, las provisiones se realizan por: deuda de pasivos con proveedores, nominas pendientes de pagar y laudos laborales con afectación a cuentas de orden.</w:t>
      </w: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f)    Reservas: No contamos con reservas.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g)    Las afectaciones en pólizas por conceptos de reclasificación, en materia del gasto e ingreso perteneciente a otro ejercicio fiscal, se registran en Resultados de Ejercicios Anteriores.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h)      Depuración y cancelación de saldos: Las depuraciones y cancelaciones de saldos son autorizados por la Junta de Gobierno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7.      Posición en Moneda Extranjera y Protección por Riesgo Cambiario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No contamos con operaciones en moneda extranjera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Los registros contables en los que se contemple </w:t>
      </w:r>
      <w:r w:rsidR="00136CAE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o</w:t>
      </w: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peraciones con moneda extranjera, estos comprobantes serán traducidos a valor den moneda nacional.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8. Reporte Analítico del Activo</w:t>
      </w: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0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a)    No depreciamos.</w:t>
      </w:r>
    </w:p>
    <w:p w:rsidR="005D6BBB" w:rsidRPr="005D6BBB" w:rsidRDefault="005D6BBB" w:rsidP="005D6BBB">
      <w:pPr>
        <w:suppressAutoHyphens/>
        <w:spacing w:line="360" w:lineRule="auto"/>
        <w:ind w:left="733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33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9.      Fideicomisos, Mandatos y Análogos</w:t>
      </w:r>
    </w:p>
    <w:p w:rsidR="005D6BBB" w:rsidRPr="005D6BBB" w:rsidRDefault="005D6BBB" w:rsidP="005D6BBB">
      <w:pPr>
        <w:suppressAutoHyphens/>
        <w:spacing w:line="360" w:lineRule="auto"/>
        <w:ind w:left="733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33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No contamos con fideicomisos </w:t>
      </w:r>
    </w:p>
    <w:p w:rsidR="005D6BBB" w:rsidRPr="005D6BBB" w:rsidRDefault="005D6BBB" w:rsidP="005D6BBB">
      <w:pPr>
        <w:suppressAutoHyphens/>
        <w:spacing w:line="360" w:lineRule="auto"/>
        <w:ind w:left="733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33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10.    Reporte de la Recaudación</w:t>
      </w:r>
    </w:p>
    <w:p w:rsidR="005D6BBB" w:rsidRPr="005D6BBB" w:rsidRDefault="005D6BBB" w:rsidP="005D6BBB">
      <w:pPr>
        <w:suppressAutoHyphens/>
        <w:spacing w:line="360" w:lineRule="auto"/>
        <w:ind w:left="733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Durante el ejercicio, la captación se obtiene derivado de dos conceptos: Transferencias de recursos fiscales (Transferencias de Municipio de Guaymas) así como los ingresos propios derivados de los eventos y talleres artísticos y culturales. </w:t>
      </w:r>
    </w:p>
    <w:p w:rsidR="005D6BBB" w:rsidRDefault="00C0480A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noProof/>
          <w:kern w:val="1"/>
          <w:sz w:val="22"/>
          <w:szCs w:val="22"/>
          <w:lang w:eastAsia="hi-IN" w:bidi="hi-IN"/>
        </w:rPr>
      </w:pPr>
      <w:r>
        <w:rPr>
          <w:rFonts w:ascii="Consolas" w:eastAsia="Arial Unicode MS" w:hAnsi="Consolas" w:cs="Mangal"/>
          <w:noProof/>
          <w:kern w:val="1"/>
          <w:sz w:val="22"/>
          <w:szCs w:val="22"/>
          <w:lang w:eastAsia="es-MX"/>
        </w:rPr>
        <w:drawing>
          <wp:inline distT="0" distB="0" distL="0" distR="0">
            <wp:extent cx="6529106" cy="2825408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10" cy="282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64B" w:rsidRDefault="009F564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noProof/>
          <w:kern w:val="1"/>
          <w:sz w:val="22"/>
          <w:szCs w:val="22"/>
          <w:lang w:eastAsia="hi-IN" w:bidi="hi-IN"/>
        </w:rPr>
      </w:pPr>
    </w:p>
    <w:p w:rsidR="009F564B" w:rsidRDefault="009F564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noProof/>
          <w:kern w:val="1"/>
          <w:sz w:val="22"/>
          <w:szCs w:val="22"/>
          <w:lang w:eastAsia="hi-IN" w:bidi="hi-IN"/>
        </w:rPr>
      </w:pPr>
    </w:p>
    <w:p w:rsidR="005D6BBB" w:rsidRPr="00316D2A" w:rsidRDefault="005D6BB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 xml:space="preserve">11.    </w:t>
      </w:r>
      <w:r w:rsidRPr="00316D2A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Información sobre la Deuda y el Reporte Analítico de la Deuda</w:t>
      </w:r>
    </w:p>
    <w:p w:rsidR="005D6BBB" w:rsidRPr="005D6BBB" w:rsidRDefault="005D6BB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316D2A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lastRenderedPageBreak/>
        <w:t>La deuda pública del Instituto refleja los saldos generados por: Nóminas pendientes por pagar, Proveedores a corto Plazo, Retenciones y Contribuciones y Acreedores Diversos:</w:t>
      </w:r>
    </w:p>
    <w:p w:rsidR="005D6BBB" w:rsidRDefault="00C0480A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b/>
          <w:noProof/>
          <w:kern w:val="1"/>
          <w:sz w:val="22"/>
          <w:szCs w:val="22"/>
          <w:lang w:eastAsia="hi-IN" w:bidi="hi-IN"/>
        </w:rPr>
      </w:pPr>
      <w:r>
        <w:rPr>
          <w:rFonts w:ascii="Consolas" w:eastAsia="Arial Unicode MS" w:hAnsi="Consolas" w:cs="Mangal"/>
          <w:b/>
          <w:noProof/>
          <w:kern w:val="1"/>
          <w:sz w:val="22"/>
          <w:szCs w:val="22"/>
          <w:lang w:eastAsia="es-MX"/>
        </w:rPr>
        <w:drawing>
          <wp:inline distT="0" distB="0" distL="0" distR="0">
            <wp:extent cx="6571622" cy="2308783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179" cy="231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15" w:rsidRPr="005D6BBB" w:rsidRDefault="00757015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532FE7" w:rsidRDefault="00532FE7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9F564B" w:rsidRDefault="009F564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12. Calificaciones otorgadas</w:t>
      </w:r>
    </w:p>
    <w:p w:rsidR="005D6BBB" w:rsidRPr="005D6BBB" w:rsidRDefault="005D6BB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 xml:space="preserve">No contamos con calificación </w:t>
      </w:r>
    </w:p>
    <w:p w:rsidR="005D6BBB" w:rsidRPr="005D6BBB" w:rsidRDefault="005D6BB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50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13.    Proceso de Mejora</w:t>
      </w: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Se pretende mejorar el uso de los sistemas internos para efectos de cumplimientos normativos, así como el brindar información por transparencia mediante una página de internet particular del Instituto.</w:t>
      </w: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  <w:t>17.    Responsabilidad Sobre la Presentación Razonable de la Información Contable</w:t>
      </w: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b/>
          <w:kern w:val="1"/>
          <w:sz w:val="22"/>
          <w:szCs w:val="22"/>
          <w:lang w:eastAsia="hi-IN" w:bidi="hi-IN"/>
        </w:rPr>
      </w:pPr>
    </w:p>
    <w:p w:rsidR="005D6BBB" w:rsidRPr="005D6BBB" w:rsidRDefault="005D6BBB" w:rsidP="005D6BBB">
      <w:pPr>
        <w:suppressAutoHyphens/>
        <w:spacing w:line="360" w:lineRule="auto"/>
        <w:ind w:left="717" w:right="383"/>
        <w:jc w:val="both"/>
        <w:outlineLvl w:val="1"/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</w:pPr>
      <w:r w:rsidRPr="005D6BBB">
        <w:rPr>
          <w:rFonts w:ascii="Consolas" w:eastAsia="Arial Unicode MS" w:hAnsi="Consolas" w:cs="Mangal"/>
          <w:kern w:val="1"/>
          <w:sz w:val="22"/>
          <w:szCs w:val="22"/>
          <w:lang w:eastAsia="hi-IN" w:bidi="hi-IN"/>
        </w:rPr>
        <w:t>La Información Contable deberá estar firmada en cada página de la misma e incluir al final la siguiente leyenda: “Bajo protesta de decir verdad declaramos que los Estados Financieros y sus notas, son razonablemente correctos y son responsabilidad del emisor”. Lo anterior, no será aplicable para la información contable consolidada.</w:t>
      </w:r>
    </w:p>
    <w:p w:rsidR="005D6BBB" w:rsidRDefault="005D6BBB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5D6BBB" w:rsidRDefault="005D6BBB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5D6BBB" w:rsidRDefault="005D6BBB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5D6BBB" w:rsidRDefault="005D6BBB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5D6BBB" w:rsidRDefault="005D6BBB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2C03C8" w:rsidRDefault="002C03C8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5D6BBB" w:rsidRDefault="005D6BBB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7258A9" w:rsidRPr="00E230AD" w:rsidRDefault="00532FE7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>
        <w:rPr>
          <w:rFonts w:ascii="Consolas" w:hAnsi="Consolas"/>
          <w:b/>
          <w:sz w:val="22"/>
          <w:szCs w:val="22"/>
        </w:rPr>
        <w:t xml:space="preserve">        </w:t>
      </w:r>
      <w:r w:rsidR="005A44CE">
        <w:rPr>
          <w:rFonts w:ascii="Consolas" w:hAnsi="Consolas"/>
          <w:b/>
          <w:sz w:val="22"/>
          <w:szCs w:val="22"/>
        </w:rPr>
        <w:t>C.P.</w:t>
      </w:r>
      <w:r w:rsidR="00845CE8" w:rsidRPr="00E230AD">
        <w:rPr>
          <w:rFonts w:ascii="Consolas" w:hAnsi="Consolas"/>
          <w:b/>
          <w:sz w:val="22"/>
          <w:szCs w:val="22"/>
        </w:rPr>
        <w:t xml:space="preserve"> </w:t>
      </w:r>
      <w:r w:rsidR="00566638">
        <w:rPr>
          <w:rFonts w:ascii="Consolas" w:hAnsi="Consolas"/>
          <w:b/>
          <w:sz w:val="22"/>
          <w:szCs w:val="22"/>
        </w:rPr>
        <w:t>CELIDA BOTELLO NAVARRO</w:t>
      </w:r>
      <w:r w:rsidR="005A44CE">
        <w:rPr>
          <w:rFonts w:ascii="Consolas" w:hAnsi="Consolas"/>
          <w:b/>
          <w:sz w:val="22"/>
          <w:szCs w:val="22"/>
        </w:rPr>
        <w:t xml:space="preserve"> </w:t>
      </w:r>
      <w:r w:rsidR="00845CE8" w:rsidRPr="00E230AD">
        <w:rPr>
          <w:rFonts w:ascii="Consolas" w:hAnsi="Consolas"/>
          <w:b/>
          <w:sz w:val="22"/>
          <w:szCs w:val="22"/>
        </w:rPr>
        <w:t xml:space="preserve">              </w:t>
      </w:r>
      <w:r w:rsidR="00FA2E0D" w:rsidRPr="00E230AD">
        <w:rPr>
          <w:rFonts w:ascii="Consolas" w:hAnsi="Consolas"/>
          <w:b/>
          <w:sz w:val="22"/>
          <w:szCs w:val="22"/>
        </w:rPr>
        <w:t xml:space="preserve"> </w:t>
      </w:r>
      <w:r w:rsidR="00566638">
        <w:rPr>
          <w:rFonts w:ascii="Consolas" w:hAnsi="Consolas"/>
          <w:b/>
          <w:sz w:val="22"/>
          <w:szCs w:val="22"/>
        </w:rPr>
        <w:t>LCDA</w:t>
      </w:r>
      <w:r w:rsidR="00CD77F6">
        <w:rPr>
          <w:rFonts w:ascii="Consolas" w:hAnsi="Consolas"/>
          <w:b/>
          <w:sz w:val="22"/>
          <w:szCs w:val="22"/>
        </w:rPr>
        <w:t xml:space="preserve">. </w:t>
      </w:r>
      <w:r w:rsidR="00566638">
        <w:rPr>
          <w:rFonts w:ascii="Consolas" w:hAnsi="Consolas"/>
          <w:b/>
          <w:sz w:val="22"/>
          <w:szCs w:val="22"/>
        </w:rPr>
        <w:t>BRENDA ARLET BARAJAS LOPEZ</w:t>
      </w:r>
      <w:r w:rsidR="007258A9" w:rsidRPr="00E230AD">
        <w:rPr>
          <w:rFonts w:ascii="Consolas" w:hAnsi="Consolas"/>
          <w:b/>
          <w:sz w:val="22"/>
          <w:szCs w:val="22"/>
        </w:rPr>
        <w:t xml:space="preserve"> </w:t>
      </w:r>
    </w:p>
    <w:p w:rsidR="00FA1A0A" w:rsidRPr="00E230AD" w:rsidRDefault="00532FE7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>
        <w:rPr>
          <w:rFonts w:ascii="Consolas" w:hAnsi="Consolas"/>
          <w:b/>
          <w:sz w:val="22"/>
          <w:szCs w:val="22"/>
        </w:rPr>
        <w:t xml:space="preserve">        </w:t>
      </w:r>
      <w:r w:rsidR="00FA2E0D" w:rsidRPr="00E230AD">
        <w:rPr>
          <w:rFonts w:ascii="Consolas" w:hAnsi="Consolas"/>
          <w:b/>
          <w:sz w:val="22"/>
          <w:szCs w:val="22"/>
        </w:rPr>
        <w:t xml:space="preserve">     </w:t>
      </w:r>
      <w:r w:rsidR="00845CE8" w:rsidRPr="00E230AD">
        <w:rPr>
          <w:rFonts w:ascii="Consolas" w:hAnsi="Consolas"/>
          <w:b/>
          <w:sz w:val="22"/>
          <w:szCs w:val="22"/>
        </w:rPr>
        <w:t>Tesorer</w:t>
      </w:r>
      <w:r w:rsidR="00566638">
        <w:rPr>
          <w:rFonts w:ascii="Consolas" w:hAnsi="Consolas"/>
          <w:b/>
          <w:sz w:val="22"/>
          <w:szCs w:val="22"/>
        </w:rPr>
        <w:t>a</w:t>
      </w:r>
      <w:r w:rsidR="00845CE8" w:rsidRPr="00E230AD">
        <w:rPr>
          <w:rFonts w:ascii="Consolas" w:hAnsi="Consolas"/>
          <w:b/>
          <w:sz w:val="22"/>
          <w:szCs w:val="22"/>
        </w:rPr>
        <w:t xml:space="preserve"> Municipal</w:t>
      </w:r>
      <w:r w:rsidR="00FA2E0D" w:rsidRPr="00E230AD">
        <w:rPr>
          <w:rFonts w:ascii="Consolas" w:hAnsi="Consolas"/>
          <w:b/>
          <w:sz w:val="22"/>
          <w:szCs w:val="22"/>
        </w:rPr>
        <w:t xml:space="preserve">                    </w:t>
      </w:r>
      <w:r w:rsidR="00845CE8" w:rsidRPr="00E230AD">
        <w:rPr>
          <w:rFonts w:ascii="Consolas" w:hAnsi="Consolas"/>
          <w:b/>
          <w:sz w:val="22"/>
          <w:szCs w:val="22"/>
        </w:rPr>
        <w:t xml:space="preserve">         Director</w:t>
      </w:r>
      <w:r w:rsidR="00566638">
        <w:rPr>
          <w:rFonts w:ascii="Consolas" w:hAnsi="Consolas"/>
          <w:b/>
          <w:sz w:val="22"/>
          <w:szCs w:val="22"/>
        </w:rPr>
        <w:t>a</w:t>
      </w:r>
      <w:r w:rsidR="00845CE8" w:rsidRPr="00E230AD">
        <w:rPr>
          <w:rFonts w:ascii="Consolas" w:hAnsi="Consolas"/>
          <w:b/>
          <w:sz w:val="22"/>
          <w:szCs w:val="22"/>
        </w:rPr>
        <w:t xml:space="preserve"> General</w:t>
      </w:r>
    </w:p>
    <w:sectPr w:rsidR="00FA1A0A" w:rsidRPr="00E230AD" w:rsidSect="002003E5">
      <w:headerReference w:type="default" r:id="rId11"/>
      <w:footerReference w:type="even" r:id="rId12"/>
      <w:footerReference w:type="default" r:id="rId13"/>
      <w:footerReference w:type="first" r:id="rId14"/>
      <w:pgSz w:w="12246" w:h="15846" w:code="1"/>
      <w:pgMar w:top="720" w:right="720" w:bottom="720" w:left="720" w:header="720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F1" w:rsidRDefault="00C66CF1">
      <w:r>
        <w:separator/>
      </w:r>
    </w:p>
  </w:endnote>
  <w:endnote w:type="continuationSeparator" w:id="0">
    <w:p w:rsidR="00C66CF1" w:rsidRDefault="00C6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17" w:rsidRDefault="00C66CF1">
    <w:pPr>
      <w:jc w:val="center"/>
    </w:pPr>
    <w:r>
      <w:t>ISAF-d18d8df5-46b1-aa31-cee7-bca611f85273</w:t>
    </w:r>
    <w:r>
      <w:br/>
      <w:t>1/25/2021 6:53:27 PM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17" w:rsidRDefault="00C66CF1">
    <w:pPr>
      <w:jc w:val="center"/>
    </w:pPr>
    <w:r>
      <w:t>ISAF-d18d8df5-46b1-aa31-cee7-bca611f85273</w:t>
    </w:r>
    <w:r>
      <w:br/>
      <w:t>1/25/2021 6:53:27 PM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17" w:rsidRDefault="00C66CF1">
    <w:pPr>
      <w:jc w:val="center"/>
    </w:pPr>
    <w:r>
      <w:t>ISAF-d18d8df5-46b1-aa31-cee7-bca611f85273</w:t>
    </w:r>
    <w:r>
      <w:br/>
      <w:t>1/25/2021 6:53:27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F1" w:rsidRDefault="00C66CF1">
      <w:r>
        <w:separator/>
      </w:r>
    </w:p>
  </w:footnote>
  <w:footnote w:type="continuationSeparator" w:id="0">
    <w:p w:rsidR="00C66CF1" w:rsidRDefault="00C6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59" w:rsidRPr="00E230AD" w:rsidRDefault="002F6F59" w:rsidP="00FA542C">
    <w:pPr>
      <w:pStyle w:val="Encabezado"/>
      <w:jc w:val="center"/>
      <w:rPr>
        <w:rFonts w:ascii="Consolas" w:hAnsi="Consolas"/>
        <w:b/>
        <w:sz w:val="22"/>
      </w:rPr>
    </w:pPr>
    <w:r w:rsidRPr="00E230AD">
      <w:rPr>
        <w:rFonts w:ascii="Consolas" w:hAnsi="Consolas"/>
        <w:b/>
        <w:sz w:val="22"/>
      </w:rPr>
      <w:t>MUNICIPIO GUAYMAS, SON. INSTITUTO MUNICIPAL DE CULTURA Y ARTE</w:t>
    </w:r>
  </w:p>
  <w:p w:rsidR="002F6F59" w:rsidRDefault="002F6F59" w:rsidP="00FA542C">
    <w:pPr>
      <w:pStyle w:val="Encabezado"/>
      <w:jc w:val="center"/>
      <w:rPr>
        <w:rFonts w:ascii="Consolas" w:hAnsi="Consolas"/>
        <w:b/>
        <w:sz w:val="22"/>
      </w:rPr>
    </w:pPr>
    <w:r w:rsidRPr="00E230AD">
      <w:rPr>
        <w:rFonts w:ascii="Consolas" w:hAnsi="Consolas"/>
        <w:b/>
        <w:sz w:val="22"/>
      </w:rPr>
      <w:t xml:space="preserve">NOTAS AL ESTADO DE SITUACION FINANCIERA </w:t>
    </w:r>
    <w:r>
      <w:rPr>
        <w:rFonts w:ascii="Consolas" w:hAnsi="Consolas"/>
        <w:b/>
        <w:sz w:val="22"/>
      </w:rPr>
      <w:t>IV</w:t>
    </w:r>
  </w:p>
  <w:p w:rsidR="002F6F59" w:rsidRDefault="002F6F59" w:rsidP="00FA542C">
    <w:pPr>
      <w:pStyle w:val="Encabezado"/>
      <w:jc w:val="center"/>
      <w:rPr>
        <w:rFonts w:ascii="Consolas" w:hAnsi="Consolas"/>
        <w:b/>
        <w:sz w:val="22"/>
      </w:rPr>
    </w:pPr>
    <w:r>
      <w:rPr>
        <w:rFonts w:ascii="Consolas" w:hAnsi="Consolas"/>
        <w:b/>
        <w:sz w:val="22"/>
      </w:rPr>
      <w:t xml:space="preserve">   TRIMESTRE 2020</w:t>
    </w:r>
  </w:p>
  <w:p w:rsidR="002F6F59" w:rsidRPr="00E230AD" w:rsidRDefault="002F6F59" w:rsidP="00FA542C">
    <w:pPr>
      <w:pStyle w:val="Encabezado"/>
      <w:jc w:val="center"/>
      <w:rPr>
        <w:rFonts w:ascii="Consolas" w:hAnsi="Consolas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D4762E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C66B62"/>
    <w:multiLevelType w:val="hybridMultilevel"/>
    <w:tmpl w:val="5A9EC3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23382A"/>
    <w:multiLevelType w:val="hybridMultilevel"/>
    <w:tmpl w:val="F6526384"/>
    <w:lvl w:ilvl="0" w:tplc="3AD8E5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B27512C"/>
    <w:multiLevelType w:val="hybridMultilevel"/>
    <w:tmpl w:val="840E7118"/>
    <w:lvl w:ilvl="0" w:tplc="9CAE46B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B9B4033"/>
    <w:multiLevelType w:val="hybridMultilevel"/>
    <w:tmpl w:val="27F65966"/>
    <w:lvl w:ilvl="0" w:tplc="FEA22E9A">
      <w:start w:val="31"/>
      <w:numFmt w:val="bullet"/>
      <w:lvlText w:val="-"/>
      <w:lvlJc w:val="left"/>
      <w:pPr>
        <w:ind w:left="720" w:hanging="360"/>
      </w:pPr>
      <w:rPr>
        <w:rFonts w:ascii="Consolas" w:eastAsia="Times New Roman" w:hAnsi="Consola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42687"/>
    <w:multiLevelType w:val="hybridMultilevel"/>
    <w:tmpl w:val="2C4A650A"/>
    <w:lvl w:ilvl="0" w:tplc="080A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AF957B3"/>
    <w:multiLevelType w:val="hybridMultilevel"/>
    <w:tmpl w:val="010806F0"/>
    <w:lvl w:ilvl="0" w:tplc="080A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FCA0DDB"/>
    <w:multiLevelType w:val="hybridMultilevel"/>
    <w:tmpl w:val="4F74A88C"/>
    <w:lvl w:ilvl="0" w:tplc="0C0A000F">
      <w:start w:val="1"/>
      <w:numFmt w:val="decimal"/>
      <w:lvlText w:val="%1."/>
      <w:lvlJc w:val="left"/>
      <w:pPr>
        <w:ind w:left="864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8" w15:restartNumberingAfterBreak="0">
    <w:nsid w:val="31292CE4"/>
    <w:multiLevelType w:val="hybridMultilevel"/>
    <w:tmpl w:val="36AE09EC"/>
    <w:lvl w:ilvl="0" w:tplc="F1723FC8">
      <w:numFmt w:val="bullet"/>
      <w:lvlText w:val="-"/>
      <w:lvlJc w:val="left"/>
      <w:pPr>
        <w:ind w:left="720" w:hanging="360"/>
      </w:pPr>
      <w:rPr>
        <w:rFonts w:ascii="Consolas" w:eastAsia="Times New Roman" w:hAnsi="Consola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5D9D"/>
    <w:multiLevelType w:val="hybridMultilevel"/>
    <w:tmpl w:val="37007DD2"/>
    <w:lvl w:ilvl="0" w:tplc="B018363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C50E6"/>
    <w:multiLevelType w:val="hybridMultilevel"/>
    <w:tmpl w:val="35EC1652"/>
    <w:lvl w:ilvl="0" w:tplc="080A000D">
      <w:start w:val="1"/>
      <w:numFmt w:val="bullet"/>
      <w:lvlText w:val=""/>
      <w:lvlJc w:val="left"/>
      <w:pPr>
        <w:ind w:left="125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1" w15:restartNumberingAfterBreak="0">
    <w:nsid w:val="4ECE70FA"/>
    <w:multiLevelType w:val="hybridMultilevel"/>
    <w:tmpl w:val="8EFC011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E942A6"/>
    <w:multiLevelType w:val="hybridMultilevel"/>
    <w:tmpl w:val="C590AC12"/>
    <w:lvl w:ilvl="0" w:tplc="98324614">
      <w:start w:val="1"/>
      <w:numFmt w:val="lowerLetter"/>
      <w:lvlText w:val="%1)"/>
      <w:lvlJc w:val="left"/>
      <w:pPr>
        <w:ind w:left="142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3" w15:restartNumberingAfterBreak="0">
    <w:nsid w:val="585E4506"/>
    <w:multiLevelType w:val="hybridMultilevel"/>
    <w:tmpl w:val="135C258A"/>
    <w:lvl w:ilvl="0" w:tplc="46AA679A">
      <w:start w:val="1"/>
      <w:numFmt w:val="lowerLetter"/>
      <w:lvlText w:val="%1)"/>
      <w:lvlJc w:val="left"/>
      <w:pPr>
        <w:ind w:left="142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4" w15:restartNumberingAfterBreak="0">
    <w:nsid w:val="5E286E0E"/>
    <w:multiLevelType w:val="hybridMultilevel"/>
    <w:tmpl w:val="61580A6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3"/>
  </w:num>
  <w:num w:numId="36">
    <w:abstractNumId w:val="14"/>
  </w:num>
  <w:num w:numId="37">
    <w:abstractNumId w:val="7"/>
  </w:num>
  <w:num w:numId="38">
    <w:abstractNumId w:val="6"/>
  </w:num>
  <w:num w:numId="39">
    <w:abstractNumId w:val="5"/>
  </w:num>
  <w:num w:numId="40">
    <w:abstractNumId w:val="10"/>
  </w:num>
  <w:num w:numId="41">
    <w:abstractNumId w:val="11"/>
  </w:num>
  <w:num w:numId="42">
    <w:abstractNumId w:val="1"/>
  </w:num>
  <w:num w:numId="43">
    <w:abstractNumId w:val="9"/>
  </w:num>
  <w:num w:numId="44">
    <w:abstractNumId w:val="4"/>
  </w:num>
  <w:num w:numId="45">
    <w:abstractNumId w:val="8"/>
  </w:num>
  <w:num w:numId="46">
    <w:abstractNumId w:val="12"/>
  </w:num>
  <w:num w:numId="4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49"/>
    <w:rsid w:val="00003533"/>
    <w:rsid w:val="00003B59"/>
    <w:rsid w:val="00004213"/>
    <w:rsid w:val="00006BCC"/>
    <w:rsid w:val="00007474"/>
    <w:rsid w:val="000077C6"/>
    <w:rsid w:val="00011D06"/>
    <w:rsid w:val="00022EEE"/>
    <w:rsid w:val="00024D7E"/>
    <w:rsid w:val="000256EE"/>
    <w:rsid w:val="000265C6"/>
    <w:rsid w:val="000305BF"/>
    <w:rsid w:val="00032291"/>
    <w:rsid w:val="00041879"/>
    <w:rsid w:val="00042F6F"/>
    <w:rsid w:val="000441E7"/>
    <w:rsid w:val="00045296"/>
    <w:rsid w:val="000465A5"/>
    <w:rsid w:val="000473C6"/>
    <w:rsid w:val="00051AB0"/>
    <w:rsid w:val="00051C59"/>
    <w:rsid w:val="00051F27"/>
    <w:rsid w:val="000548C6"/>
    <w:rsid w:val="00054A6A"/>
    <w:rsid w:val="000575D2"/>
    <w:rsid w:val="000619A3"/>
    <w:rsid w:val="00062320"/>
    <w:rsid w:val="000634F4"/>
    <w:rsid w:val="00063E59"/>
    <w:rsid w:val="0006469D"/>
    <w:rsid w:val="00065FFF"/>
    <w:rsid w:val="000669C2"/>
    <w:rsid w:val="00071881"/>
    <w:rsid w:val="00072847"/>
    <w:rsid w:val="0007516B"/>
    <w:rsid w:val="00077595"/>
    <w:rsid w:val="000777CD"/>
    <w:rsid w:val="000778DC"/>
    <w:rsid w:val="000809AE"/>
    <w:rsid w:val="0008173D"/>
    <w:rsid w:val="0008229E"/>
    <w:rsid w:val="00091FCE"/>
    <w:rsid w:val="0009495F"/>
    <w:rsid w:val="000A0928"/>
    <w:rsid w:val="000A151F"/>
    <w:rsid w:val="000A25FC"/>
    <w:rsid w:val="000A55A8"/>
    <w:rsid w:val="000A579B"/>
    <w:rsid w:val="000A6ED9"/>
    <w:rsid w:val="000A6FB1"/>
    <w:rsid w:val="000A73DC"/>
    <w:rsid w:val="000B10A9"/>
    <w:rsid w:val="000B37EA"/>
    <w:rsid w:val="000B3882"/>
    <w:rsid w:val="000B4681"/>
    <w:rsid w:val="000B47D2"/>
    <w:rsid w:val="000B5BA8"/>
    <w:rsid w:val="000B66ED"/>
    <w:rsid w:val="000C0072"/>
    <w:rsid w:val="000C0CCC"/>
    <w:rsid w:val="000C53B3"/>
    <w:rsid w:val="000C545F"/>
    <w:rsid w:val="000C5782"/>
    <w:rsid w:val="000C5798"/>
    <w:rsid w:val="000D0A0F"/>
    <w:rsid w:val="000D1D98"/>
    <w:rsid w:val="000D29E9"/>
    <w:rsid w:val="000E0671"/>
    <w:rsid w:val="000E38EB"/>
    <w:rsid w:val="000E411B"/>
    <w:rsid w:val="000E5167"/>
    <w:rsid w:val="000E647A"/>
    <w:rsid w:val="000E6D75"/>
    <w:rsid w:val="000F0A28"/>
    <w:rsid w:val="000F0E1C"/>
    <w:rsid w:val="000F2973"/>
    <w:rsid w:val="000F3A08"/>
    <w:rsid w:val="000F486C"/>
    <w:rsid w:val="000F5792"/>
    <w:rsid w:val="00105F84"/>
    <w:rsid w:val="00110962"/>
    <w:rsid w:val="001119E4"/>
    <w:rsid w:val="001124A9"/>
    <w:rsid w:val="001128CB"/>
    <w:rsid w:val="0011518A"/>
    <w:rsid w:val="00115288"/>
    <w:rsid w:val="0012023E"/>
    <w:rsid w:val="00121ACF"/>
    <w:rsid w:val="001235DC"/>
    <w:rsid w:val="0012386A"/>
    <w:rsid w:val="00124F29"/>
    <w:rsid w:val="00133510"/>
    <w:rsid w:val="00134B72"/>
    <w:rsid w:val="00136CAE"/>
    <w:rsid w:val="00137521"/>
    <w:rsid w:val="00140622"/>
    <w:rsid w:val="00142DAF"/>
    <w:rsid w:val="00143AEC"/>
    <w:rsid w:val="001444EF"/>
    <w:rsid w:val="001504FD"/>
    <w:rsid w:val="0015206A"/>
    <w:rsid w:val="00152CC5"/>
    <w:rsid w:val="00153CA3"/>
    <w:rsid w:val="0015405C"/>
    <w:rsid w:val="001567CC"/>
    <w:rsid w:val="001579DB"/>
    <w:rsid w:val="00162618"/>
    <w:rsid w:val="00162911"/>
    <w:rsid w:val="00164DD2"/>
    <w:rsid w:val="00166918"/>
    <w:rsid w:val="00170ACC"/>
    <w:rsid w:val="00173968"/>
    <w:rsid w:val="00175298"/>
    <w:rsid w:val="00176038"/>
    <w:rsid w:val="00176EFC"/>
    <w:rsid w:val="00181D91"/>
    <w:rsid w:val="001837D7"/>
    <w:rsid w:val="001913B4"/>
    <w:rsid w:val="001919A5"/>
    <w:rsid w:val="00191CB5"/>
    <w:rsid w:val="001921F0"/>
    <w:rsid w:val="00194678"/>
    <w:rsid w:val="00196507"/>
    <w:rsid w:val="0019772B"/>
    <w:rsid w:val="00197DF4"/>
    <w:rsid w:val="001A0969"/>
    <w:rsid w:val="001A256D"/>
    <w:rsid w:val="001A2B2F"/>
    <w:rsid w:val="001A4D06"/>
    <w:rsid w:val="001A7B64"/>
    <w:rsid w:val="001A7F7C"/>
    <w:rsid w:val="001B0221"/>
    <w:rsid w:val="001B35DE"/>
    <w:rsid w:val="001B5D65"/>
    <w:rsid w:val="001C1A37"/>
    <w:rsid w:val="001C2CB3"/>
    <w:rsid w:val="001C398A"/>
    <w:rsid w:val="001C40BE"/>
    <w:rsid w:val="001C4275"/>
    <w:rsid w:val="001C4527"/>
    <w:rsid w:val="001C5F90"/>
    <w:rsid w:val="001C65A6"/>
    <w:rsid w:val="001C7CAB"/>
    <w:rsid w:val="001D1225"/>
    <w:rsid w:val="001D3849"/>
    <w:rsid w:val="001D442E"/>
    <w:rsid w:val="001E0A16"/>
    <w:rsid w:val="001E1773"/>
    <w:rsid w:val="001E6587"/>
    <w:rsid w:val="001F4F3F"/>
    <w:rsid w:val="001F5542"/>
    <w:rsid w:val="001F5A71"/>
    <w:rsid w:val="001F7524"/>
    <w:rsid w:val="001F7D72"/>
    <w:rsid w:val="001F7F64"/>
    <w:rsid w:val="002003E5"/>
    <w:rsid w:val="002015ED"/>
    <w:rsid w:val="00202C77"/>
    <w:rsid w:val="00204147"/>
    <w:rsid w:val="00204D35"/>
    <w:rsid w:val="00205667"/>
    <w:rsid w:val="00205C76"/>
    <w:rsid w:val="00210A6A"/>
    <w:rsid w:val="00210DF8"/>
    <w:rsid w:val="002112D6"/>
    <w:rsid w:val="0021632B"/>
    <w:rsid w:val="00220B0E"/>
    <w:rsid w:val="00223A73"/>
    <w:rsid w:val="002258FF"/>
    <w:rsid w:val="00225CE9"/>
    <w:rsid w:val="0022659A"/>
    <w:rsid w:val="00227155"/>
    <w:rsid w:val="00235065"/>
    <w:rsid w:val="0023594F"/>
    <w:rsid w:val="00236484"/>
    <w:rsid w:val="002364A2"/>
    <w:rsid w:val="002370EC"/>
    <w:rsid w:val="002410DE"/>
    <w:rsid w:val="002417BD"/>
    <w:rsid w:val="002435CA"/>
    <w:rsid w:val="002453EC"/>
    <w:rsid w:val="00253316"/>
    <w:rsid w:val="00255F96"/>
    <w:rsid w:val="00256B7F"/>
    <w:rsid w:val="00257249"/>
    <w:rsid w:val="00262F6B"/>
    <w:rsid w:val="002664F6"/>
    <w:rsid w:val="00272686"/>
    <w:rsid w:val="002736E8"/>
    <w:rsid w:val="0027495A"/>
    <w:rsid w:val="00280EE2"/>
    <w:rsid w:val="002812F0"/>
    <w:rsid w:val="0028329B"/>
    <w:rsid w:val="00283BD2"/>
    <w:rsid w:val="00287A17"/>
    <w:rsid w:val="00287AC0"/>
    <w:rsid w:val="00287EAE"/>
    <w:rsid w:val="0029396D"/>
    <w:rsid w:val="002A3114"/>
    <w:rsid w:val="002A377D"/>
    <w:rsid w:val="002A51ED"/>
    <w:rsid w:val="002A5CB0"/>
    <w:rsid w:val="002A63D0"/>
    <w:rsid w:val="002B2278"/>
    <w:rsid w:val="002B6A95"/>
    <w:rsid w:val="002C0318"/>
    <w:rsid w:val="002C03C8"/>
    <w:rsid w:val="002C40D0"/>
    <w:rsid w:val="002D23D3"/>
    <w:rsid w:val="002D342C"/>
    <w:rsid w:val="002D3449"/>
    <w:rsid w:val="002D36B5"/>
    <w:rsid w:val="002E17C7"/>
    <w:rsid w:val="002E2026"/>
    <w:rsid w:val="002E41BD"/>
    <w:rsid w:val="002E54CB"/>
    <w:rsid w:val="002E5632"/>
    <w:rsid w:val="002F42FE"/>
    <w:rsid w:val="002F4593"/>
    <w:rsid w:val="002F6F59"/>
    <w:rsid w:val="003021A3"/>
    <w:rsid w:val="003022D6"/>
    <w:rsid w:val="0030470F"/>
    <w:rsid w:val="00305EE1"/>
    <w:rsid w:val="00314F94"/>
    <w:rsid w:val="003162C0"/>
    <w:rsid w:val="00316D2A"/>
    <w:rsid w:val="0032072F"/>
    <w:rsid w:val="003238FF"/>
    <w:rsid w:val="00332512"/>
    <w:rsid w:val="003341E5"/>
    <w:rsid w:val="003362DD"/>
    <w:rsid w:val="00337E7A"/>
    <w:rsid w:val="003411C7"/>
    <w:rsid w:val="00343D2B"/>
    <w:rsid w:val="003442BC"/>
    <w:rsid w:val="00347220"/>
    <w:rsid w:val="0035260A"/>
    <w:rsid w:val="003537C0"/>
    <w:rsid w:val="00353AAF"/>
    <w:rsid w:val="003554B1"/>
    <w:rsid w:val="0035560E"/>
    <w:rsid w:val="0035667A"/>
    <w:rsid w:val="0035751F"/>
    <w:rsid w:val="003629BD"/>
    <w:rsid w:val="00363B46"/>
    <w:rsid w:val="00363F01"/>
    <w:rsid w:val="003654C3"/>
    <w:rsid w:val="00372121"/>
    <w:rsid w:val="00373359"/>
    <w:rsid w:val="00376A61"/>
    <w:rsid w:val="00376BD1"/>
    <w:rsid w:val="003772A5"/>
    <w:rsid w:val="00381901"/>
    <w:rsid w:val="00382CA6"/>
    <w:rsid w:val="00384094"/>
    <w:rsid w:val="00387FDF"/>
    <w:rsid w:val="003912EC"/>
    <w:rsid w:val="003927D8"/>
    <w:rsid w:val="00394B66"/>
    <w:rsid w:val="00395117"/>
    <w:rsid w:val="00395549"/>
    <w:rsid w:val="00395C89"/>
    <w:rsid w:val="003968D3"/>
    <w:rsid w:val="00397DCC"/>
    <w:rsid w:val="003A15BC"/>
    <w:rsid w:val="003A1D4E"/>
    <w:rsid w:val="003A2C9A"/>
    <w:rsid w:val="003A70FD"/>
    <w:rsid w:val="003A7450"/>
    <w:rsid w:val="003A7C66"/>
    <w:rsid w:val="003B43A4"/>
    <w:rsid w:val="003B4DB3"/>
    <w:rsid w:val="003B53D8"/>
    <w:rsid w:val="003B5D8D"/>
    <w:rsid w:val="003B6BC2"/>
    <w:rsid w:val="003B758B"/>
    <w:rsid w:val="003C5E78"/>
    <w:rsid w:val="003C6AC9"/>
    <w:rsid w:val="003C6C65"/>
    <w:rsid w:val="003C6E79"/>
    <w:rsid w:val="003C737D"/>
    <w:rsid w:val="003D2216"/>
    <w:rsid w:val="003D466A"/>
    <w:rsid w:val="003D5197"/>
    <w:rsid w:val="003E19A9"/>
    <w:rsid w:val="003E5E34"/>
    <w:rsid w:val="003F0350"/>
    <w:rsid w:val="003F2002"/>
    <w:rsid w:val="003F20B5"/>
    <w:rsid w:val="003F5FA7"/>
    <w:rsid w:val="004009C2"/>
    <w:rsid w:val="004012CF"/>
    <w:rsid w:val="004039EF"/>
    <w:rsid w:val="00406F4F"/>
    <w:rsid w:val="004107C5"/>
    <w:rsid w:val="0041275F"/>
    <w:rsid w:val="00412953"/>
    <w:rsid w:val="00412DCF"/>
    <w:rsid w:val="004132D9"/>
    <w:rsid w:val="00415A25"/>
    <w:rsid w:val="004166A1"/>
    <w:rsid w:val="00417697"/>
    <w:rsid w:val="00424F55"/>
    <w:rsid w:val="004257EB"/>
    <w:rsid w:val="004261C1"/>
    <w:rsid w:val="004307BA"/>
    <w:rsid w:val="0043158B"/>
    <w:rsid w:val="00433E2F"/>
    <w:rsid w:val="0043458F"/>
    <w:rsid w:val="0044073D"/>
    <w:rsid w:val="00441552"/>
    <w:rsid w:val="00441CEC"/>
    <w:rsid w:val="0044222F"/>
    <w:rsid w:val="00445C3F"/>
    <w:rsid w:val="00447734"/>
    <w:rsid w:val="00452D70"/>
    <w:rsid w:val="004544C5"/>
    <w:rsid w:val="00456E2E"/>
    <w:rsid w:val="00460ABB"/>
    <w:rsid w:val="0046197E"/>
    <w:rsid w:val="00461A73"/>
    <w:rsid w:val="00466A58"/>
    <w:rsid w:val="00470642"/>
    <w:rsid w:val="004725BC"/>
    <w:rsid w:val="004740F4"/>
    <w:rsid w:val="00480516"/>
    <w:rsid w:val="004856BD"/>
    <w:rsid w:val="00485ED9"/>
    <w:rsid w:val="00491DC6"/>
    <w:rsid w:val="00492B69"/>
    <w:rsid w:val="004931E3"/>
    <w:rsid w:val="004932EB"/>
    <w:rsid w:val="00494C33"/>
    <w:rsid w:val="00495EEA"/>
    <w:rsid w:val="004A1AEE"/>
    <w:rsid w:val="004A2302"/>
    <w:rsid w:val="004A2E38"/>
    <w:rsid w:val="004A2E90"/>
    <w:rsid w:val="004A374D"/>
    <w:rsid w:val="004A58DF"/>
    <w:rsid w:val="004A5AA6"/>
    <w:rsid w:val="004A5DBD"/>
    <w:rsid w:val="004B04CA"/>
    <w:rsid w:val="004B0EBA"/>
    <w:rsid w:val="004B255F"/>
    <w:rsid w:val="004B25F3"/>
    <w:rsid w:val="004B53B8"/>
    <w:rsid w:val="004C00E5"/>
    <w:rsid w:val="004C4DC3"/>
    <w:rsid w:val="004D141A"/>
    <w:rsid w:val="004D54BA"/>
    <w:rsid w:val="004D7E16"/>
    <w:rsid w:val="004E20A8"/>
    <w:rsid w:val="004E2AAE"/>
    <w:rsid w:val="004E52E2"/>
    <w:rsid w:val="004E65ED"/>
    <w:rsid w:val="004F0BBF"/>
    <w:rsid w:val="004F17FA"/>
    <w:rsid w:val="004F1C93"/>
    <w:rsid w:val="004F441B"/>
    <w:rsid w:val="004F48BD"/>
    <w:rsid w:val="004F5EE9"/>
    <w:rsid w:val="00500035"/>
    <w:rsid w:val="0050190D"/>
    <w:rsid w:val="00501C26"/>
    <w:rsid w:val="0050365B"/>
    <w:rsid w:val="00504AAA"/>
    <w:rsid w:val="00505F3F"/>
    <w:rsid w:val="005120F0"/>
    <w:rsid w:val="00512284"/>
    <w:rsid w:val="00512422"/>
    <w:rsid w:val="00514752"/>
    <w:rsid w:val="00514DD7"/>
    <w:rsid w:val="00515549"/>
    <w:rsid w:val="0051772D"/>
    <w:rsid w:val="0052765F"/>
    <w:rsid w:val="00527AA8"/>
    <w:rsid w:val="005307D6"/>
    <w:rsid w:val="00530EAB"/>
    <w:rsid w:val="00532FE7"/>
    <w:rsid w:val="00535BF3"/>
    <w:rsid w:val="00540B50"/>
    <w:rsid w:val="00540E53"/>
    <w:rsid w:val="00542A54"/>
    <w:rsid w:val="00542E99"/>
    <w:rsid w:val="00542F01"/>
    <w:rsid w:val="00544A99"/>
    <w:rsid w:val="00545237"/>
    <w:rsid w:val="00550169"/>
    <w:rsid w:val="005541E5"/>
    <w:rsid w:val="00554AEC"/>
    <w:rsid w:val="00554BEB"/>
    <w:rsid w:val="00554E1C"/>
    <w:rsid w:val="00560B82"/>
    <w:rsid w:val="00560B9C"/>
    <w:rsid w:val="00561B8B"/>
    <w:rsid w:val="00561F19"/>
    <w:rsid w:val="005633B5"/>
    <w:rsid w:val="0056438A"/>
    <w:rsid w:val="00565EC7"/>
    <w:rsid w:val="00566503"/>
    <w:rsid w:val="00566638"/>
    <w:rsid w:val="00570204"/>
    <w:rsid w:val="00570687"/>
    <w:rsid w:val="00573CB5"/>
    <w:rsid w:val="0057619E"/>
    <w:rsid w:val="00584001"/>
    <w:rsid w:val="0058631C"/>
    <w:rsid w:val="00590049"/>
    <w:rsid w:val="00594EBB"/>
    <w:rsid w:val="005A00CB"/>
    <w:rsid w:val="005A1E8C"/>
    <w:rsid w:val="005A231F"/>
    <w:rsid w:val="005A44CE"/>
    <w:rsid w:val="005A5895"/>
    <w:rsid w:val="005A5A6C"/>
    <w:rsid w:val="005A780A"/>
    <w:rsid w:val="005B139A"/>
    <w:rsid w:val="005B15BB"/>
    <w:rsid w:val="005B2087"/>
    <w:rsid w:val="005B5630"/>
    <w:rsid w:val="005B5CAF"/>
    <w:rsid w:val="005B6C6B"/>
    <w:rsid w:val="005B6D09"/>
    <w:rsid w:val="005B79D6"/>
    <w:rsid w:val="005C0886"/>
    <w:rsid w:val="005C3E9B"/>
    <w:rsid w:val="005C420C"/>
    <w:rsid w:val="005C59DA"/>
    <w:rsid w:val="005C6F04"/>
    <w:rsid w:val="005C7B65"/>
    <w:rsid w:val="005D37C1"/>
    <w:rsid w:val="005D5008"/>
    <w:rsid w:val="005D5A86"/>
    <w:rsid w:val="005D6A2E"/>
    <w:rsid w:val="005D6BBB"/>
    <w:rsid w:val="005D7B56"/>
    <w:rsid w:val="005D7C1A"/>
    <w:rsid w:val="005E024B"/>
    <w:rsid w:val="005E0967"/>
    <w:rsid w:val="005E10A3"/>
    <w:rsid w:val="005E10C2"/>
    <w:rsid w:val="005E2FAD"/>
    <w:rsid w:val="005E496F"/>
    <w:rsid w:val="005E4F98"/>
    <w:rsid w:val="005E5209"/>
    <w:rsid w:val="005E6425"/>
    <w:rsid w:val="005E65AC"/>
    <w:rsid w:val="005E77F0"/>
    <w:rsid w:val="005E790E"/>
    <w:rsid w:val="005F256E"/>
    <w:rsid w:val="005F7BB2"/>
    <w:rsid w:val="00603DCC"/>
    <w:rsid w:val="00605A94"/>
    <w:rsid w:val="00605EE8"/>
    <w:rsid w:val="006133AE"/>
    <w:rsid w:val="00613B7E"/>
    <w:rsid w:val="00614D35"/>
    <w:rsid w:val="00615C10"/>
    <w:rsid w:val="0062103F"/>
    <w:rsid w:val="00624BAA"/>
    <w:rsid w:val="0062522F"/>
    <w:rsid w:val="00625E64"/>
    <w:rsid w:val="00631DC6"/>
    <w:rsid w:val="006338F6"/>
    <w:rsid w:val="00633B72"/>
    <w:rsid w:val="00633CF9"/>
    <w:rsid w:val="0063415F"/>
    <w:rsid w:val="006365A9"/>
    <w:rsid w:val="0064102D"/>
    <w:rsid w:val="006457D9"/>
    <w:rsid w:val="00647312"/>
    <w:rsid w:val="00647CBB"/>
    <w:rsid w:val="0065697C"/>
    <w:rsid w:val="00657008"/>
    <w:rsid w:val="0065796A"/>
    <w:rsid w:val="00660E18"/>
    <w:rsid w:val="00660EF1"/>
    <w:rsid w:val="00666594"/>
    <w:rsid w:val="00674F19"/>
    <w:rsid w:val="006775DD"/>
    <w:rsid w:val="006803F9"/>
    <w:rsid w:val="00683E3D"/>
    <w:rsid w:val="00683FE0"/>
    <w:rsid w:val="00684947"/>
    <w:rsid w:val="0068508E"/>
    <w:rsid w:val="006859E7"/>
    <w:rsid w:val="00691088"/>
    <w:rsid w:val="006931B6"/>
    <w:rsid w:val="00693208"/>
    <w:rsid w:val="006942A7"/>
    <w:rsid w:val="006956F9"/>
    <w:rsid w:val="00697114"/>
    <w:rsid w:val="00697756"/>
    <w:rsid w:val="006A1478"/>
    <w:rsid w:val="006A3493"/>
    <w:rsid w:val="006A43F6"/>
    <w:rsid w:val="006A7B4C"/>
    <w:rsid w:val="006B0FAA"/>
    <w:rsid w:val="006B1181"/>
    <w:rsid w:val="006B3613"/>
    <w:rsid w:val="006B7EC1"/>
    <w:rsid w:val="006C1825"/>
    <w:rsid w:val="006C47AE"/>
    <w:rsid w:val="006C6CFC"/>
    <w:rsid w:val="006C7923"/>
    <w:rsid w:val="006D01CE"/>
    <w:rsid w:val="006D167D"/>
    <w:rsid w:val="006D1BD3"/>
    <w:rsid w:val="006D1D4F"/>
    <w:rsid w:val="006D1D96"/>
    <w:rsid w:val="006E0697"/>
    <w:rsid w:val="006E1E64"/>
    <w:rsid w:val="006E428E"/>
    <w:rsid w:val="006E52C9"/>
    <w:rsid w:val="006E641D"/>
    <w:rsid w:val="006E7491"/>
    <w:rsid w:val="006E74EF"/>
    <w:rsid w:val="006F405A"/>
    <w:rsid w:val="006F42E8"/>
    <w:rsid w:val="006F7899"/>
    <w:rsid w:val="006F7D14"/>
    <w:rsid w:val="006F7F8B"/>
    <w:rsid w:val="00701925"/>
    <w:rsid w:val="00702654"/>
    <w:rsid w:val="007031AA"/>
    <w:rsid w:val="00704BFC"/>
    <w:rsid w:val="0070578C"/>
    <w:rsid w:val="00710AE1"/>
    <w:rsid w:val="0071280E"/>
    <w:rsid w:val="00712F2A"/>
    <w:rsid w:val="00715FA9"/>
    <w:rsid w:val="00720782"/>
    <w:rsid w:val="007217A1"/>
    <w:rsid w:val="007258A9"/>
    <w:rsid w:val="00725BF2"/>
    <w:rsid w:val="00735089"/>
    <w:rsid w:val="007375F4"/>
    <w:rsid w:val="007401E5"/>
    <w:rsid w:val="00740D32"/>
    <w:rsid w:val="00746BD1"/>
    <w:rsid w:val="00746C6B"/>
    <w:rsid w:val="00746F62"/>
    <w:rsid w:val="007507E0"/>
    <w:rsid w:val="00754306"/>
    <w:rsid w:val="00754DF0"/>
    <w:rsid w:val="00757015"/>
    <w:rsid w:val="00761935"/>
    <w:rsid w:val="00764406"/>
    <w:rsid w:val="00764780"/>
    <w:rsid w:val="0076493C"/>
    <w:rsid w:val="007652DA"/>
    <w:rsid w:val="007676BA"/>
    <w:rsid w:val="00772BBC"/>
    <w:rsid w:val="00773BBB"/>
    <w:rsid w:val="007751C1"/>
    <w:rsid w:val="007764C3"/>
    <w:rsid w:val="00776EB8"/>
    <w:rsid w:val="00777628"/>
    <w:rsid w:val="0078021C"/>
    <w:rsid w:val="00781C4A"/>
    <w:rsid w:val="00781E5B"/>
    <w:rsid w:val="0078212A"/>
    <w:rsid w:val="007831FF"/>
    <w:rsid w:val="0078641E"/>
    <w:rsid w:val="007901F6"/>
    <w:rsid w:val="00790F4D"/>
    <w:rsid w:val="00793E39"/>
    <w:rsid w:val="0079401F"/>
    <w:rsid w:val="00795106"/>
    <w:rsid w:val="00797B80"/>
    <w:rsid w:val="007A10CE"/>
    <w:rsid w:val="007A12DD"/>
    <w:rsid w:val="007A2123"/>
    <w:rsid w:val="007A7649"/>
    <w:rsid w:val="007B0356"/>
    <w:rsid w:val="007B18CD"/>
    <w:rsid w:val="007B3402"/>
    <w:rsid w:val="007B35FA"/>
    <w:rsid w:val="007B4000"/>
    <w:rsid w:val="007B6954"/>
    <w:rsid w:val="007C01D8"/>
    <w:rsid w:val="007C13BC"/>
    <w:rsid w:val="007C2E9A"/>
    <w:rsid w:val="007C3ED4"/>
    <w:rsid w:val="007C4FA7"/>
    <w:rsid w:val="007C7CD0"/>
    <w:rsid w:val="007D0659"/>
    <w:rsid w:val="007D6540"/>
    <w:rsid w:val="007D7DD2"/>
    <w:rsid w:val="007E4B65"/>
    <w:rsid w:val="007F3871"/>
    <w:rsid w:val="007F4095"/>
    <w:rsid w:val="007F5393"/>
    <w:rsid w:val="00801D6C"/>
    <w:rsid w:val="00802E3E"/>
    <w:rsid w:val="00802E6D"/>
    <w:rsid w:val="00804328"/>
    <w:rsid w:val="0080561A"/>
    <w:rsid w:val="00806ACB"/>
    <w:rsid w:val="00806C90"/>
    <w:rsid w:val="0080717D"/>
    <w:rsid w:val="008071FD"/>
    <w:rsid w:val="008074B3"/>
    <w:rsid w:val="008129CE"/>
    <w:rsid w:val="0081389F"/>
    <w:rsid w:val="0082077E"/>
    <w:rsid w:val="00822303"/>
    <w:rsid w:val="008226FF"/>
    <w:rsid w:val="0082296A"/>
    <w:rsid w:val="00825A0C"/>
    <w:rsid w:val="00826529"/>
    <w:rsid w:val="00826D23"/>
    <w:rsid w:val="00831868"/>
    <w:rsid w:val="00831E11"/>
    <w:rsid w:val="00834AA5"/>
    <w:rsid w:val="008358C8"/>
    <w:rsid w:val="0083598C"/>
    <w:rsid w:val="008442B4"/>
    <w:rsid w:val="00845B4A"/>
    <w:rsid w:val="00845CE8"/>
    <w:rsid w:val="00846742"/>
    <w:rsid w:val="00847A02"/>
    <w:rsid w:val="00847D06"/>
    <w:rsid w:val="008508AD"/>
    <w:rsid w:val="0085091F"/>
    <w:rsid w:val="0085125F"/>
    <w:rsid w:val="0085199B"/>
    <w:rsid w:val="00851D99"/>
    <w:rsid w:val="00852FAE"/>
    <w:rsid w:val="00860EE2"/>
    <w:rsid w:val="00862C5B"/>
    <w:rsid w:val="00867817"/>
    <w:rsid w:val="008768E9"/>
    <w:rsid w:val="00877718"/>
    <w:rsid w:val="00881634"/>
    <w:rsid w:val="008828FD"/>
    <w:rsid w:val="00884D08"/>
    <w:rsid w:val="00896A52"/>
    <w:rsid w:val="008A0FBD"/>
    <w:rsid w:val="008A30FA"/>
    <w:rsid w:val="008A64E4"/>
    <w:rsid w:val="008A7425"/>
    <w:rsid w:val="008B08B1"/>
    <w:rsid w:val="008B141A"/>
    <w:rsid w:val="008B3560"/>
    <w:rsid w:val="008B3F99"/>
    <w:rsid w:val="008B5502"/>
    <w:rsid w:val="008C2E87"/>
    <w:rsid w:val="008C65D4"/>
    <w:rsid w:val="008D1F64"/>
    <w:rsid w:val="008D458C"/>
    <w:rsid w:val="008E2D1C"/>
    <w:rsid w:val="008E5692"/>
    <w:rsid w:val="008F45F9"/>
    <w:rsid w:val="008F68C9"/>
    <w:rsid w:val="00902B86"/>
    <w:rsid w:val="00902D64"/>
    <w:rsid w:val="00905236"/>
    <w:rsid w:val="00906231"/>
    <w:rsid w:val="009104D3"/>
    <w:rsid w:val="00913C7C"/>
    <w:rsid w:val="009147A5"/>
    <w:rsid w:val="009153C2"/>
    <w:rsid w:val="00915DEB"/>
    <w:rsid w:val="00920F72"/>
    <w:rsid w:val="00921033"/>
    <w:rsid w:val="00921D6A"/>
    <w:rsid w:val="00924779"/>
    <w:rsid w:val="00927978"/>
    <w:rsid w:val="00930152"/>
    <w:rsid w:val="00932F5F"/>
    <w:rsid w:val="0093456C"/>
    <w:rsid w:val="00934E36"/>
    <w:rsid w:val="009353AB"/>
    <w:rsid w:val="00935797"/>
    <w:rsid w:val="00937363"/>
    <w:rsid w:val="009373A2"/>
    <w:rsid w:val="00940876"/>
    <w:rsid w:val="009447DE"/>
    <w:rsid w:val="0094658A"/>
    <w:rsid w:val="0094708A"/>
    <w:rsid w:val="009506FA"/>
    <w:rsid w:val="00951C17"/>
    <w:rsid w:val="0095425F"/>
    <w:rsid w:val="00954F25"/>
    <w:rsid w:val="00956410"/>
    <w:rsid w:val="0095711C"/>
    <w:rsid w:val="0095755F"/>
    <w:rsid w:val="009650BB"/>
    <w:rsid w:val="00973614"/>
    <w:rsid w:val="0097393E"/>
    <w:rsid w:val="00975160"/>
    <w:rsid w:val="009752B2"/>
    <w:rsid w:val="009774D2"/>
    <w:rsid w:val="00980C84"/>
    <w:rsid w:val="0098147C"/>
    <w:rsid w:val="00985429"/>
    <w:rsid w:val="00985895"/>
    <w:rsid w:val="009904A5"/>
    <w:rsid w:val="00992E14"/>
    <w:rsid w:val="00993B85"/>
    <w:rsid w:val="009968E0"/>
    <w:rsid w:val="009A1261"/>
    <w:rsid w:val="009A14AD"/>
    <w:rsid w:val="009A1FB6"/>
    <w:rsid w:val="009A372E"/>
    <w:rsid w:val="009A3D87"/>
    <w:rsid w:val="009A4F9F"/>
    <w:rsid w:val="009A7E80"/>
    <w:rsid w:val="009B00CB"/>
    <w:rsid w:val="009B1191"/>
    <w:rsid w:val="009B32ED"/>
    <w:rsid w:val="009B38DF"/>
    <w:rsid w:val="009C488C"/>
    <w:rsid w:val="009D0597"/>
    <w:rsid w:val="009D0E83"/>
    <w:rsid w:val="009D1005"/>
    <w:rsid w:val="009D3BC3"/>
    <w:rsid w:val="009E575B"/>
    <w:rsid w:val="009E5BCA"/>
    <w:rsid w:val="009F05A5"/>
    <w:rsid w:val="009F24C5"/>
    <w:rsid w:val="009F299B"/>
    <w:rsid w:val="009F4E7F"/>
    <w:rsid w:val="009F564B"/>
    <w:rsid w:val="009F5865"/>
    <w:rsid w:val="00A00E66"/>
    <w:rsid w:val="00A01FFA"/>
    <w:rsid w:val="00A02135"/>
    <w:rsid w:val="00A07231"/>
    <w:rsid w:val="00A131C1"/>
    <w:rsid w:val="00A15537"/>
    <w:rsid w:val="00A15B3F"/>
    <w:rsid w:val="00A210F3"/>
    <w:rsid w:val="00A25960"/>
    <w:rsid w:val="00A26F23"/>
    <w:rsid w:val="00A27356"/>
    <w:rsid w:val="00A312AA"/>
    <w:rsid w:val="00A31C92"/>
    <w:rsid w:val="00A34119"/>
    <w:rsid w:val="00A348FF"/>
    <w:rsid w:val="00A37949"/>
    <w:rsid w:val="00A40421"/>
    <w:rsid w:val="00A41879"/>
    <w:rsid w:val="00A422EE"/>
    <w:rsid w:val="00A4244D"/>
    <w:rsid w:val="00A44347"/>
    <w:rsid w:val="00A44E50"/>
    <w:rsid w:val="00A46578"/>
    <w:rsid w:val="00A474A3"/>
    <w:rsid w:val="00A47E65"/>
    <w:rsid w:val="00A50630"/>
    <w:rsid w:val="00A51B93"/>
    <w:rsid w:val="00A527B0"/>
    <w:rsid w:val="00A5327D"/>
    <w:rsid w:val="00A56A3F"/>
    <w:rsid w:val="00A56D7C"/>
    <w:rsid w:val="00A63E75"/>
    <w:rsid w:val="00A643AE"/>
    <w:rsid w:val="00A661BA"/>
    <w:rsid w:val="00A67CEF"/>
    <w:rsid w:val="00A71494"/>
    <w:rsid w:val="00A719BD"/>
    <w:rsid w:val="00A7358E"/>
    <w:rsid w:val="00A80A58"/>
    <w:rsid w:val="00A80E90"/>
    <w:rsid w:val="00A8353F"/>
    <w:rsid w:val="00A83B88"/>
    <w:rsid w:val="00A8793B"/>
    <w:rsid w:val="00A905B0"/>
    <w:rsid w:val="00A92E0A"/>
    <w:rsid w:val="00A97DF0"/>
    <w:rsid w:val="00AA1EE9"/>
    <w:rsid w:val="00AA5A0D"/>
    <w:rsid w:val="00AA635F"/>
    <w:rsid w:val="00AA6D66"/>
    <w:rsid w:val="00AA6FA5"/>
    <w:rsid w:val="00AA7187"/>
    <w:rsid w:val="00AB08DB"/>
    <w:rsid w:val="00AB1818"/>
    <w:rsid w:val="00AB5506"/>
    <w:rsid w:val="00AB5EBC"/>
    <w:rsid w:val="00AC010C"/>
    <w:rsid w:val="00AC0367"/>
    <w:rsid w:val="00AC0401"/>
    <w:rsid w:val="00AC19CC"/>
    <w:rsid w:val="00AC4049"/>
    <w:rsid w:val="00AC5172"/>
    <w:rsid w:val="00AC5E8D"/>
    <w:rsid w:val="00AC672C"/>
    <w:rsid w:val="00AC6A64"/>
    <w:rsid w:val="00AD00C8"/>
    <w:rsid w:val="00AD0809"/>
    <w:rsid w:val="00AD4594"/>
    <w:rsid w:val="00AD4B8D"/>
    <w:rsid w:val="00AD51B4"/>
    <w:rsid w:val="00AD76A4"/>
    <w:rsid w:val="00AE22D3"/>
    <w:rsid w:val="00AE5A1B"/>
    <w:rsid w:val="00AF0E73"/>
    <w:rsid w:val="00AF2F9F"/>
    <w:rsid w:val="00AF30AC"/>
    <w:rsid w:val="00AF6C6E"/>
    <w:rsid w:val="00B00BBA"/>
    <w:rsid w:val="00B01260"/>
    <w:rsid w:val="00B014D3"/>
    <w:rsid w:val="00B01AD8"/>
    <w:rsid w:val="00B04B80"/>
    <w:rsid w:val="00B06002"/>
    <w:rsid w:val="00B061AB"/>
    <w:rsid w:val="00B07EAB"/>
    <w:rsid w:val="00B110EF"/>
    <w:rsid w:val="00B11467"/>
    <w:rsid w:val="00B144D8"/>
    <w:rsid w:val="00B17381"/>
    <w:rsid w:val="00B17AFF"/>
    <w:rsid w:val="00B20FCC"/>
    <w:rsid w:val="00B23464"/>
    <w:rsid w:val="00B24742"/>
    <w:rsid w:val="00B24A85"/>
    <w:rsid w:val="00B2500A"/>
    <w:rsid w:val="00B253A7"/>
    <w:rsid w:val="00B266A8"/>
    <w:rsid w:val="00B30513"/>
    <w:rsid w:val="00B33AE7"/>
    <w:rsid w:val="00B407FC"/>
    <w:rsid w:val="00B40C2C"/>
    <w:rsid w:val="00B40E17"/>
    <w:rsid w:val="00B41323"/>
    <w:rsid w:val="00B42815"/>
    <w:rsid w:val="00B45618"/>
    <w:rsid w:val="00B47EDE"/>
    <w:rsid w:val="00B537AC"/>
    <w:rsid w:val="00B53C7A"/>
    <w:rsid w:val="00B53D6C"/>
    <w:rsid w:val="00B55059"/>
    <w:rsid w:val="00B56229"/>
    <w:rsid w:val="00B6408F"/>
    <w:rsid w:val="00B64467"/>
    <w:rsid w:val="00B70067"/>
    <w:rsid w:val="00B73421"/>
    <w:rsid w:val="00B81248"/>
    <w:rsid w:val="00B82339"/>
    <w:rsid w:val="00B82813"/>
    <w:rsid w:val="00B82E0B"/>
    <w:rsid w:val="00B82EC8"/>
    <w:rsid w:val="00B83EA6"/>
    <w:rsid w:val="00B85B24"/>
    <w:rsid w:val="00B85D61"/>
    <w:rsid w:val="00B86B05"/>
    <w:rsid w:val="00B86BB4"/>
    <w:rsid w:val="00B9029B"/>
    <w:rsid w:val="00B9165D"/>
    <w:rsid w:val="00B916BE"/>
    <w:rsid w:val="00B945AE"/>
    <w:rsid w:val="00B94EEF"/>
    <w:rsid w:val="00B956F3"/>
    <w:rsid w:val="00BA1E58"/>
    <w:rsid w:val="00BB0EFD"/>
    <w:rsid w:val="00BB142D"/>
    <w:rsid w:val="00BB2A0E"/>
    <w:rsid w:val="00BB31F8"/>
    <w:rsid w:val="00BB4931"/>
    <w:rsid w:val="00BB64B6"/>
    <w:rsid w:val="00BB66A0"/>
    <w:rsid w:val="00BC17DC"/>
    <w:rsid w:val="00BC240D"/>
    <w:rsid w:val="00BC26E0"/>
    <w:rsid w:val="00BC4017"/>
    <w:rsid w:val="00BC41A2"/>
    <w:rsid w:val="00BD0982"/>
    <w:rsid w:val="00BD15FD"/>
    <w:rsid w:val="00BD18C0"/>
    <w:rsid w:val="00BD22C1"/>
    <w:rsid w:val="00BD48A2"/>
    <w:rsid w:val="00BE1D7E"/>
    <w:rsid w:val="00BE771A"/>
    <w:rsid w:val="00BF112B"/>
    <w:rsid w:val="00BF1966"/>
    <w:rsid w:val="00BF3641"/>
    <w:rsid w:val="00BF4485"/>
    <w:rsid w:val="00BF57A3"/>
    <w:rsid w:val="00BF58A5"/>
    <w:rsid w:val="00BF7C38"/>
    <w:rsid w:val="00C000D7"/>
    <w:rsid w:val="00C013D7"/>
    <w:rsid w:val="00C0299F"/>
    <w:rsid w:val="00C02E7A"/>
    <w:rsid w:val="00C03ED6"/>
    <w:rsid w:val="00C044D1"/>
    <w:rsid w:val="00C0480A"/>
    <w:rsid w:val="00C078D4"/>
    <w:rsid w:val="00C107A6"/>
    <w:rsid w:val="00C1157D"/>
    <w:rsid w:val="00C12A1F"/>
    <w:rsid w:val="00C13896"/>
    <w:rsid w:val="00C1607E"/>
    <w:rsid w:val="00C17ADF"/>
    <w:rsid w:val="00C17B72"/>
    <w:rsid w:val="00C17C44"/>
    <w:rsid w:val="00C201F4"/>
    <w:rsid w:val="00C2086D"/>
    <w:rsid w:val="00C21DEC"/>
    <w:rsid w:val="00C241C1"/>
    <w:rsid w:val="00C24F48"/>
    <w:rsid w:val="00C25904"/>
    <w:rsid w:val="00C32E6E"/>
    <w:rsid w:val="00C34458"/>
    <w:rsid w:val="00C349E3"/>
    <w:rsid w:val="00C34FF0"/>
    <w:rsid w:val="00C3798E"/>
    <w:rsid w:val="00C403E8"/>
    <w:rsid w:val="00C41448"/>
    <w:rsid w:val="00C41EB9"/>
    <w:rsid w:val="00C43E77"/>
    <w:rsid w:val="00C44C36"/>
    <w:rsid w:val="00C44CD9"/>
    <w:rsid w:val="00C46A78"/>
    <w:rsid w:val="00C52238"/>
    <w:rsid w:val="00C536C1"/>
    <w:rsid w:val="00C53960"/>
    <w:rsid w:val="00C55872"/>
    <w:rsid w:val="00C56D5E"/>
    <w:rsid w:val="00C66437"/>
    <w:rsid w:val="00C6650B"/>
    <w:rsid w:val="00C66CF1"/>
    <w:rsid w:val="00C67C8A"/>
    <w:rsid w:val="00C70803"/>
    <w:rsid w:val="00C71488"/>
    <w:rsid w:val="00C7334A"/>
    <w:rsid w:val="00C743E0"/>
    <w:rsid w:val="00C749D5"/>
    <w:rsid w:val="00C76071"/>
    <w:rsid w:val="00C765F7"/>
    <w:rsid w:val="00C7720E"/>
    <w:rsid w:val="00C823B1"/>
    <w:rsid w:val="00C9017F"/>
    <w:rsid w:val="00C97423"/>
    <w:rsid w:val="00CB3D2F"/>
    <w:rsid w:val="00CB444C"/>
    <w:rsid w:val="00CB4FBA"/>
    <w:rsid w:val="00CB6ADD"/>
    <w:rsid w:val="00CC3140"/>
    <w:rsid w:val="00CC48CE"/>
    <w:rsid w:val="00CC6DFB"/>
    <w:rsid w:val="00CD4B73"/>
    <w:rsid w:val="00CD5875"/>
    <w:rsid w:val="00CD617E"/>
    <w:rsid w:val="00CD77F6"/>
    <w:rsid w:val="00CD7867"/>
    <w:rsid w:val="00CE09D8"/>
    <w:rsid w:val="00CE13D1"/>
    <w:rsid w:val="00CE21F7"/>
    <w:rsid w:val="00CE2279"/>
    <w:rsid w:val="00CE6390"/>
    <w:rsid w:val="00CF1F1F"/>
    <w:rsid w:val="00CF3D98"/>
    <w:rsid w:val="00CF5742"/>
    <w:rsid w:val="00D02090"/>
    <w:rsid w:val="00D0332D"/>
    <w:rsid w:val="00D070EA"/>
    <w:rsid w:val="00D1069B"/>
    <w:rsid w:val="00D11AB4"/>
    <w:rsid w:val="00D121BD"/>
    <w:rsid w:val="00D12306"/>
    <w:rsid w:val="00D149AD"/>
    <w:rsid w:val="00D17498"/>
    <w:rsid w:val="00D17A73"/>
    <w:rsid w:val="00D21DFB"/>
    <w:rsid w:val="00D25DE6"/>
    <w:rsid w:val="00D32306"/>
    <w:rsid w:val="00D33C3C"/>
    <w:rsid w:val="00D34B04"/>
    <w:rsid w:val="00D43D56"/>
    <w:rsid w:val="00D4413C"/>
    <w:rsid w:val="00D44C0A"/>
    <w:rsid w:val="00D47196"/>
    <w:rsid w:val="00D50099"/>
    <w:rsid w:val="00D50B7B"/>
    <w:rsid w:val="00D51945"/>
    <w:rsid w:val="00D522B9"/>
    <w:rsid w:val="00D53558"/>
    <w:rsid w:val="00D54520"/>
    <w:rsid w:val="00D60A42"/>
    <w:rsid w:val="00D6201E"/>
    <w:rsid w:val="00D62DF8"/>
    <w:rsid w:val="00D65998"/>
    <w:rsid w:val="00D7226E"/>
    <w:rsid w:val="00D72E20"/>
    <w:rsid w:val="00D76408"/>
    <w:rsid w:val="00D7645A"/>
    <w:rsid w:val="00D827E2"/>
    <w:rsid w:val="00D83E65"/>
    <w:rsid w:val="00D93A57"/>
    <w:rsid w:val="00D93EC9"/>
    <w:rsid w:val="00D9565B"/>
    <w:rsid w:val="00D96803"/>
    <w:rsid w:val="00DA155B"/>
    <w:rsid w:val="00DA513B"/>
    <w:rsid w:val="00DB1F89"/>
    <w:rsid w:val="00DB57D5"/>
    <w:rsid w:val="00DC2AB5"/>
    <w:rsid w:val="00DC5A25"/>
    <w:rsid w:val="00DC6D4B"/>
    <w:rsid w:val="00DE29EF"/>
    <w:rsid w:val="00DE750E"/>
    <w:rsid w:val="00DF0236"/>
    <w:rsid w:val="00DF12E4"/>
    <w:rsid w:val="00DF308F"/>
    <w:rsid w:val="00DF3130"/>
    <w:rsid w:val="00DF50BE"/>
    <w:rsid w:val="00E01735"/>
    <w:rsid w:val="00E020E1"/>
    <w:rsid w:val="00E12C55"/>
    <w:rsid w:val="00E12E1D"/>
    <w:rsid w:val="00E17688"/>
    <w:rsid w:val="00E17755"/>
    <w:rsid w:val="00E227E2"/>
    <w:rsid w:val="00E230AD"/>
    <w:rsid w:val="00E2589B"/>
    <w:rsid w:val="00E25E1F"/>
    <w:rsid w:val="00E31EA3"/>
    <w:rsid w:val="00E3399A"/>
    <w:rsid w:val="00E35F28"/>
    <w:rsid w:val="00E40149"/>
    <w:rsid w:val="00E42625"/>
    <w:rsid w:val="00E51DF4"/>
    <w:rsid w:val="00E561A2"/>
    <w:rsid w:val="00E56EC7"/>
    <w:rsid w:val="00E609BF"/>
    <w:rsid w:val="00E66A8E"/>
    <w:rsid w:val="00E676FE"/>
    <w:rsid w:val="00E67CBB"/>
    <w:rsid w:val="00E74C0C"/>
    <w:rsid w:val="00E7699D"/>
    <w:rsid w:val="00E86028"/>
    <w:rsid w:val="00E873C5"/>
    <w:rsid w:val="00E96B9A"/>
    <w:rsid w:val="00E976A8"/>
    <w:rsid w:val="00EA0199"/>
    <w:rsid w:val="00EA062B"/>
    <w:rsid w:val="00EA0BC4"/>
    <w:rsid w:val="00EA31FE"/>
    <w:rsid w:val="00EA36F2"/>
    <w:rsid w:val="00EA5B78"/>
    <w:rsid w:val="00EA6692"/>
    <w:rsid w:val="00EA7825"/>
    <w:rsid w:val="00EB129B"/>
    <w:rsid w:val="00EB33F3"/>
    <w:rsid w:val="00EB4FDC"/>
    <w:rsid w:val="00EB60B1"/>
    <w:rsid w:val="00EC227E"/>
    <w:rsid w:val="00EC2ADE"/>
    <w:rsid w:val="00EC3FFC"/>
    <w:rsid w:val="00EC4D11"/>
    <w:rsid w:val="00EC7BAD"/>
    <w:rsid w:val="00ED0632"/>
    <w:rsid w:val="00ED227C"/>
    <w:rsid w:val="00ED2E97"/>
    <w:rsid w:val="00ED6B04"/>
    <w:rsid w:val="00ED7866"/>
    <w:rsid w:val="00EE087A"/>
    <w:rsid w:val="00EE08D4"/>
    <w:rsid w:val="00EE1650"/>
    <w:rsid w:val="00EE1C8C"/>
    <w:rsid w:val="00EF421B"/>
    <w:rsid w:val="00F00E89"/>
    <w:rsid w:val="00F01760"/>
    <w:rsid w:val="00F01C0E"/>
    <w:rsid w:val="00F0345B"/>
    <w:rsid w:val="00F05220"/>
    <w:rsid w:val="00F11E53"/>
    <w:rsid w:val="00F12332"/>
    <w:rsid w:val="00F129BE"/>
    <w:rsid w:val="00F13AB6"/>
    <w:rsid w:val="00F16DBE"/>
    <w:rsid w:val="00F17AC3"/>
    <w:rsid w:val="00F20416"/>
    <w:rsid w:val="00F20F40"/>
    <w:rsid w:val="00F30823"/>
    <w:rsid w:val="00F3357C"/>
    <w:rsid w:val="00F36456"/>
    <w:rsid w:val="00F404B5"/>
    <w:rsid w:val="00F42852"/>
    <w:rsid w:val="00F50ADF"/>
    <w:rsid w:val="00F5240B"/>
    <w:rsid w:val="00F52A67"/>
    <w:rsid w:val="00F53D1A"/>
    <w:rsid w:val="00F54839"/>
    <w:rsid w:val="00F555E9"/>
    <w:rsid w:val="00F572AB"/>
    <w:rsid w:val="00F577B3"/>
    <w:rsid w:val="00F60192"/>
    <w:rsid w:val="00F61938"/>
    <w:rsid w:val="00F61A17"/>
    <w:rsid w:val="00F621FF"/>
    <w:rsid w:val="00F64989"/>
    <w:rsid w:val="00F6537E"/>
    <w:rsid w:val="00F67A9A"/>
    <w:rsid w:val="00F711F1"/>
    <w:rsid w:val="00F73DD0"/>
    <w:rsid w:val="00F75E1A"/>
    <w:rsid w:val="00F766E4"/>
    <w:rsid w:val="00F77AFF"/>
    <w:rsid w:val="00F81B26"/>
    <w:rsid w:val="00F82BC2"/>
    <w:rsid w:val="00F83766"/>
    <w:rsid w:val="00F85C2E"/>
    <w:rsid w:val="00F87901"/>
    <w:rsid w:val="00F90988"/>
    <w:rsid w:val="00F90ED3"/>
    <w:rsid w:val="00F91C86"/>
    <w:rsid w:val="00F94E9B"/>
    <w:rsid w:val="00F962AF"/>
    <w:rsid w:val="00F96A3D"/>
    <w:rsid w:val="00F979B9"/>
    <w:rsid w:val="00F97CA8"/>
    <w:rsid w:val="00FA0CB4"/>
    <w:rsid w:val="00FA12BC"/>
    <w:rsid w:val="00FA1A0A"/>
    <w:rsid w:val="00FA2E0D"/>
    <w:rsid w:val="00FA542C"/>
    <w:rsid w:val="00FA6DE1"/>
    <w:rsid w:val="00FB053F"/>
    <w:rsid w:val="00FB1E37"/>
    <w:rsid w:val="00FB248E"/>
    <w:rsid w:val="00FB37A4"/>
    <w:rsid w:val="00FB7952"/>
    <w:rsid w:val="00FC0E9A"/>
    <w:rsid w:val="00FC16A8"/>
    <w:rsid w:val="00FC1BCA"/>
    <w:rsid w:val="00FC200A"/>
    <w:rsid w:val="00FC769D"/>
    <w:rsid w:val="00FD0714"/>
    <w:rsid w:val="00FD2477"/>
    <w:rsid w:val="00FD41E3"/>
    <w:rsid w:val="00FD6DD6"/>
    <w:rsid w:val="00FE2E95"/>
    <w:rsid w:val="00FE695D"/>
    <w:rsid w:val="00FF235B"/>
    <w:rsid w:val="00FF30EC"/>
    <w:rsid w:val="00FF3579"/>
    <w:rsid w:val="00FF4D5D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3F7079-EB3C-4B3B-A93B-ABC2873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A2E"/>
    <w:rPr>
      <w:lang w:eastAsia="es-ES"/>
    </w:rPr>
  </w:style>
  <w:style w:type="paragraph" w:styleId="Ttulo1">
    <w:name w:val="heading 1"/>
    <w:basedOn w:val="Normal"/>
    <w:next w:val="Textopredeterminado"/>
    <w:link w:val="Ttulo1Car"/>
    <w:uiPriority w:val="9"/>
    <w:qFormat/>
    <w:rsid w:val="005D6A2E"/>
    <w:pPr>
      <w:spacing w:before="280" w:after="140"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next w:val="Textopredeterminado"/>
    <w:link w:val="Ttulo2Car"/>
    <w:uiPriority w:val="9"/>
    <w:qFormat/>
    <w:rsid w:val="005D6A2E"/>
    <w:pPr>
      <w:spacing w:before="120" w:after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Textopredeterminado"/>
    <w:link w:val="Ttulo3Car"/>
    <w:uiPriority w:val="9"/>
    <w:qFormat/>
    <w:rsid w:val="005D6A2E"/>
    <w:pPr>
      <w:spacing w:before="120" w:after="120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83766"/>
    <w:rPr>
      <w:rFonts w:asciiTheme="majorHAnsi" w:eastAsiaTheme="majorEastAsia" w:hAnsiTheme="majorHAnsi" w:cs="Times New Roman"/>
      <w:b/>
      <w:bCs/>
      <w:kern w:val="32"/>
      <w:sz w:val="32"/>
      <w:szCs w:val="32"/>
      <w:lang w:val="es-MX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F83766"/>
    <w:rPr>
      <w:rFonts w:asciiTheme="majorHAnsi" w:eastAsiaTheme="majorEastAsia" w:hAnsiTheme="majorHAnsi" w:cs="Times New Roman"/>
      <w:b/>
      <w:bCs/>
      <w:i/>
      <w:iCs/>
      <w:sz w:val="28"/>
      <w:szCs w:val="28"/>
      <w:lang w:val="es-MX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F83766"/>
    <w:rPr>
      <w:rFonts w:asciiTheme="majorHAnsi" w:eastAsiaTheme="majorEastAsia" w:hAnsiTheme="majorHAnsi" w:cs="Times New Roman"/>
      <w:b/>
      <w:bCs/>
      <w:sz w:val="26"/>
      <w:szCs w:val="26"/>
      <w:lang w:val="es-MX" w:eastAsia="x-none"/>
    </w:rPr>
  </w:style>
  <w:style w:type="paragraph" w:customStyle="1" w:styleId="Textopredeterminado">
    <w:name w:val="Texto predeterminado"/>
    <w:basedOn w:val="Normal"/>
    <w:rsid w:val="005D6A2E"/>
    <w:rPr>
      <w:sz w:val="24"/>
    </w:rPr>
  </w:style>
  <w:style w:type="paragraph" w:styleId="Descripcin">
    <w:name w:val="caption"/>
    <w:basedOn w:val="Normal"/>
    <w:uiPriority w:val="35"/>
    <w:qFormat/>
    <w:rsid w:val="005D6A2E"/>
    <w:pPr>
      <w:spacing w:after="960"/>
      <w:jc w:val="center"/>
    </w:pPr>
    <w:rPr>
      <w:rFonts w:ascii="Arial Black" w:hAnsi="Arial Black"/>
      <w:sz w:val="48"/>
    </w:rPr>
  </w:style>
  <w:style w:type="paragraph" w:styleId="Listaconvietas5">
    <w:name w:val="List Bullet 5"/>
    <w:basedOn w:val="Normal"/>
    <w:next w:val="Textopredeterminado"/>
    <w:uiPriority w:val="99"/>
    <w:rsid w:val="005D6A2E"/>
    <w:rPr>
      <w:sz w:val="24"/>
    </w:rPr>
  </w:style>
  <w:style w:type="paragraph" w:customStyle="1" w:styleId="Simple">
    <w:name w:val="Simple"/>
    <w:basedOn w:val="Normal"/>
    <w:next w:val="Textopredeterminado"/>
    <w:rsid w:val="005D6A2E"/>
    <w:rPr>
      <w:sz w:val="24"/>
    </w:rPr>
  </w:style>
  <w:style w:type="paragraph" w:customStyle="1" w:styleId="Topos1">
    <w:name w:val="Topos 1"/>
    <w:basedOn w:val="Normal"/>
    <w:next w:val="Textopredeterminado"/>
    <w:rsid w:val="005D6A2E"/>
    <w:rPr>
      <w:sz w:val="24"/>
    </w:rPr>
  </w:style>
  <w:style w:type="paragraph" w:customStyle="1" w:styleId="Topos2">
    <w:name w:val="Topos 2"/>
    <w:basedOn w:val="Normal"/>
    <w:next w:val="Textopredeterminado"/>
    <w:rsid w:val="005D6A2E"/>
    <w:rPr>
      <w:sz w:val="24"/>
    </w:rPr>
  </w:style>
  <w:style w:type="paragraph" w:customStyle="1" w:styleId="Sangraprimeralnea">
    <w:name w:val="Sangría  primera línea"/>
    <w:basedOn w:val="Normal"/>
    <w:next w:val="Textopredeterminado"/>
    <w:rsid w:val="005D6A2E"/>
    <w:pPr>
      <w:ind w:firstLine="720"/>
    </w:pPr>
    <w:rPr>
      <w:sz w:val="24"/>
    </w:rPr>
  </w:style>
  <w:style w:type="paragraph" w:customStyle="1" w:styleId="Esquemaynmeros">
    <w:name w:val="Esquema y números"/>
    <w:basedOn w:val="Normal"/>
    <w:next w:val="Textopredeterminado"/>
    <w:rsid w:val="005D6A2E"/>
    <w:rPr>
      <w:sz w:val="24"/>
    </w:rPr>
  </w:style>
  <w:style w:type="paragraph" w:customStyle="1" w:styleId="Textodetabla">
    <w:name w:val="Texto de tabla"/>
    <w:basedOn w:val="Normal"/>
    <w:next w:val="Textopredeterminado"/>
    <w:rsid w:val="005D6A2E"/>
    <w:pPr>
      <w:tabs>
        <w:tab w:val="decimal" w:pos="0"/>
      </w:tabs>
    </w:pPr>
    <w:rPr>
      <w:sz w:val="24"/>
    </w:rPr>
  </w:style>
  <w:style w:type="paragraph" w:styleId="Encabezado">
    <w:name w:val="header"/>
    <w:basedOn w:val="Normal"/>
    <w:link w:val="EncabezadoCar"/>
    <w:uiPriority w:val="99"/>
    <w:rsid w:val="005D6A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83766"/>
    <w:rPr>
      <w:rFonts w:cs="Times New Roman"/>
      <w:lang w:val="es-MX" w:eastAsia="x-none"/>
    </w:rPr>
  </w:style>
  <w:style w:type="paragraph" w:styleId="Piedepgina">
    <w:name w:val="footer"/>
    <w:basedOn w:val="Normal"/>
    <w:link w:val="PiedepginaCar"/>
    <w:uiPriority w:val="99"/>
    <w:rsid w:val="005D6A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24742"/>
    <w:rPr>
      <w:rFonts w:cs="Times New Roman"/>
      <w:noProof/>
    </w:rPr>
  </w:style>
  <w:style w:type="character" w:styleId="Nmerodepgina">
    <w:name w:val="page number"/>
    <w:basedOn w:val="Fuentedeprrafopredeter"/>
    <w:uiPriority w:val="99"/>
    <w:rsid w:val="00B24742"/>
    <w:rPr>
      <w:rFonts w:cs="Times New Roman"/>
    </w:rPr>
  </w:style>
  <w:style w:type="character" w:styleId="Hipervnculo">
    <w:name w:val="Hyperlink"/>
    <w:basedOn w:val="Fuentedeprrafopredeter"/>
    <w:uiPriority w:val="99"/>
    <w:rsid w:val="005D6A2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5D6A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83766"/>
    <w:rPr>
      <w:rFonts w:ascii="Tahoma" w:hAnsi="Tahoma" w:cs="Tahoma"/>
      <w:sz w:val="16"/>
      <w:szCs w:val="16"/>
      <w:lang w:val="es-MX" w:eastAsia="x-none"/>
    </w:rPr>
  </w:style>
  <w:style w:type="character" w:styleId="Refdecomentario">
    <w:name w:val="annotation reference"/>
    <w:basedOn w:val="Fuentedeprrafopredeter"/>
    <w:uiPriority w:val="99"/>
    <w:semiHidden/>
    <w:rsid w:val="005D6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D6A2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83766"/>
    <w:rPr>
      <w:rFonts w:cs="Times New Roman"/>
      <w:lang w:val="es-MX" w:eastAsia="x-none"/>
    </w:rPr>
  </w:style>
  <w:style w:type="table" w:styleId="Tablaconcuadrcula">
    <w:name w:val="Table Grid"/>
    <w:basedOn w:val="Tablanormal"/>
    <w:uiPriority w:val="59"/>
    <w:rsid w:val="006B3613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1B93"/>
    <w:pPr>
      <w:ind w:left="720"/>
      <w:contextualSpacing/>
    </w:pPr>
  </w:style>
  <w:style w:type="paragraph" w:customStyle="1" w:styleId="Default">
    <w:name w:val="Default"/>
    <w:rsid w:val="00ED2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032291"/>
    <w:rPr>
      <w:rFonts w:cs="Times New Roman"/>
    </w:rPr>
  </w:style>
  <w:style w:type="paragraph" w:styleId="TDC3">
    <w:name w:val="toc 3"/>
    <w:basedOn w:val="Normal"/>
    <w:next w:val="Normal"/>
    <w:uiPriority w:val="39"/>
    <w:rsid w:val="0046197E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AA2B-AA4F-4EC4-824D-B23AB7A5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2665</Words>
  <Characters>14659</Characters>
  <Application>Microsoft Office Word</Application>
  <DocSecurity>8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Municipio de Guaymas, Sonora</vt:lpstr>
    </vt:vector>
  </TitlesOfParts>
  <Manager>CPC Javier Millán Cruz</Manager>
  <Company>MILLAN Contadores Públicos</Company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Municipio de Guaymas, Sonora</dc:title>
  <dc:subject>Dictamen 2014 (Dic)</dc:subject>
  <dc:creator>CPC Everardo Millán Cruz</dc:creator>
  <cp:keywords/>
  <dc:description/>
  <cp:lastModifiedBy>IMCA Coordinación</cp:lastModifiedBy>
  <cp:revision>2</cp:revision>
  <cp:lastPrinted>2016-05-15T04:42:00Z</cp:lastPrinted>
  <dcterms:created xsi:type="dcterms:W3CDTF">2021-02-12T20:38:00Z</dcterms:created>
  <dcterms:modified xsi:type="dcterms:W3CDTF">2021-02-12T20:38:00Z</dcterms:modified>
</cp:coreProperties>
</file>